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681" w:right="702" w:hanging="681" w:hangingChars="100"/>
        <w:jc w:val="center"/>
        <w:rPr>
          <w:rFonts w:ascii="华文中宋" w:hAnsi="华文中宋" w:eastAsia="华文中宋"/>
          <w:b/>
          <w:color w:val="FF0000"/>
          <w:kern w:val="0"/>
          <w:sz w:val="68"/>
          <w:szCs w:val="68"/>
        </w:rPr>
      </w:pPr>
      <w:bookmarkStart w:id="0" w:name="_GoBack"/>
      <w:bookmarkEnd w:id="0"/>
    </w:p>
    <w:p>
      <w:pPr>
        <w:pStyle w:val="2"/>
        <w:rPr>
          <w:rFonts w:ascii="华文中宋" w:hAnsi="华文中宋" w:eastAsia="华文中宋"/>
          <w:b/>
          <w:color w:val="FF0000"/>
          <w:kern w:val="0"/>
          <w:sz w:val="68"/>
          <w:szCs w:val="68"/>
        </w:rPr>
      </w:pPr>
    </w:p>
    <w:p>
      <w:pPr>
        <w:pStyle w:val="3"/>
      </w:pPr>
    </w:p>
    <w:p>
      <w:pPr>
        <w:snapToGrid w:val="0"/>
        <w:ind w:left="681" w:right="702" w:hanging="681" w:hangingChars="100"/>
        <w:jc w:val="center"/>
        <w:rPr>
          <w:rFonts w:ascii="华文中宋" w:hAnsi="华文中宋" w:eastAsia="华文中宋"/>
          <w:b/>
          <w:color w:val="FF0000"/>
          <w:kern w:val="0"/>
          <w:sz w:val="68"/>
          <w:szCs w:val="68"/>
        </w:rPr>
      </w:pPr>
      <w:r>
        <w:rPr>
          <w:rFonts w:hint="eastAsia" w:ascii="华文中宋" w:hAnsi="华文中宋" w:eastAsia="华文中宋"/>
          <w:b/>
          <w:color w:val="FF0000"/>
          <w:kern w:val="0"/>
          <w:sz w:val="68"/>
          <w:szCs w:val="68"/>
        </w:rPr>
        <w:t>广西内部审计师协会文件</w:t>
      </w:r>
    </w:p>
    <w:p>
      <w:pPr>
        <w:pStyle w:val="3"/>
        <w:spacing w:line="240" w:lineRule="auto"/>
        <w:jc w:val="left"/>
        <w:rPr>
          <w:rFonts w:ascii="华文中宋" w:hAnsi="华文中宋" w:eastAsia="华文中宋"/>
          <w:color w:val="FF0000"/>
          <w:szCs w:val="32"/>
        </w:rPr>
      </w:pPr>
    </w:p>
    <w:p>
      <w:pPr>
        <w:pBdr>
          <w:bottom w:val="single" w:color="FF0000" w:sz="24" w:space="0"/>
        </w:pBdr>
        <w:adjustRightInd w:val="0"/>
        <w:snapToGrid w:val="0"/>
        <w:spacing w:line="640" w:lineRule="exact"/>
        <w:jc w:val="center"/>
        <w:rPr>
          <w:rFonts w:ascii="楷体_GB2312" w:eastAsia="楷体_GB2312"/>
          <w:szCs w:val="32"/>
        </w:rPr>
      </w:pPr>
      <w:r>
        <w:rPr>
          <w:rFonts w:hint="eastAsia"/>
          <w:szCs w:val="32"/>
        </w:rPr>
        <w:t>桂内协发〔2022〕11号</w:t>
      </w:r>
    </w:p>
    <w:p>
      <w:pPr>
        <w:spacing w:line="560" w:lineRule="exact"/>
        <w:rPr>
          <w:rFonts w:ascii="方正小标宋简体" w:eastAsia="方正小标宋简体"/>
          <w:sz w:val="44"/>
          <w:szCs w:val="44"/>
        </w:rPr>
      </w:pPr>
    </w:p>
    <w:p>
      <w:pPr>
        <w:spacing w:line="580" w:lineRule="exact"/>
        <w:jc w:val="center"/>
        <w:rPr>
          <w:rFonts w:ascii="Times New Roman" w:eastAsia="方正小标宋_GBK"/>
          <w:spacing w:val="-8"/>
          <w:sz w:val="44"/>
          <w:szCs w:val="44"/>
        </w:rPr>
      </w:pPr>
      <w:r>
        <w:rPr>
          <w:rFonts w:ascii="Times New Roman" w:eastAsia="方正小标宋_GBK"/>
          <w:spacing w:val="-8"/>
          <w:sz w:val="44"/>
          <w:szCs w:val="44"/>
        </w:rPr>
        <w:t>关于</w:t>
      </w:r>
      <w:r>
        <w:rPr>
          <w:rFonts w:hint="eastAsia" w:ascii="Times New Roman" w:eastAsia="方正小标宋_GBK"/>
          <w:spacing w:val="-8"/>
          <w:sz w:val="44"/>
          <w:szCs w:val="44"/>
          <w:lang w:eastAsia="zh-CN"/>
        </w:rPr>
        <w:t>举办</w:t>
      </w:r>
      <w:r>
        <w:rPr>
          <w:rFonts w:hint="eastAsia" w:ascii="Times New Roman" w:eastAsia="方正小标宋_GBK"/>
          <w:spacing w:val="-8"/>
          <w:sz w:val="44"/>
          <w:szCs w:val="44"/>
        </w:rPr>
        <w:t>2022年广西</w:t>
      </w:r>
      <w:r>
        <w:rPr>
          <w:rFonts w:ascii="Times New Roman" w:eastAsia="方正小标宋_GBK"/>
          <w:spacing w:val="-8"/>
          <w:sz w:val="44"/>
          <w:szCs w:val="44"/>
        </w:rPr>
        <w:t>内部审计</w:t>
      </w:r>
    </w:p>
    <w:p>
      <w:pPr>
        <w:spacing w:line="580" w:lineRule="exact"/>
        <w:jc w:val="center"/>
        <w:rPr>
          <w:rFonts w:ascii="Times New Roman" w:eastAsia="方正小标宋_GBK"/>
          <w:spacing w:val="-8"/>
          <w:sz w:val="44"/>
          <w:szCs w:val="44"/>
        </w:rPr>
      </w:pPr>
      <w:r>
        <w:rPr>
          <w:rFonts w:hint="eastAsia" w:ascii="Times New Roman" w:eastAsia="方正小标宋_GBK"/>
          <w:spacing w:val="-8"/>
          <w:sz w:val="44"/>
          <w:szCs w:val="44"/>
        </w:rPr>
        <w:t>青年论坛</w:t>
      </w:r>
      <w:r>
        <w:rPr>
          <w:rFonts w:ascii="Times New Roman" w:eastAsia="方正小标宋_GBK"/>
          <w:spacing w:val="-8"/>
          <w:sz w:val="44"/>
          <w:szCs w:val="44"/>
        </w:rPr>
        <w:t>的通知</w:t>
      </w:r>
    </w:p>
    <w:p>
      <w:pPr>
        <w:pStyle w:val="2"/>
        <w:spacing w:line="580" w:lineRule="exact"/>
        <w:rPr>
          <w:rFonts w:ascii="Times New Roman" w:hAnsi="Times New Roman"/>
        </w:rPr>
      </w:pPr>
    </w:p>
    <w:p>
      <w:pPr>
        <w:pStyle w:val="5"/>
        <w:widowControl/>
        <w:shd w:val="clear" w:color="auto" w:fill="FFFFFF"/>
        <w:spacing w:beforeAutospacing="0" w:afterAutospacing="0" w:line="560" w:lineRule="exact"/>
        <w:jc w:val="both"/>
        <w:textAlignment w:val="baseline"/>
        <w:rPr>
          <w:color w:val="333333"/>
          <w:szCs w:val="21"/>
        </w:rPr>
      </w:pPr>
      <w:r>
        <w:rPr>
          <w:rFonts w:hint="eastAsia" w:hAnsi="仿宋_GB2312" w:cs="仿宋_GB2312"/>
          <w:color w:val="000000"/>
          <w:spacing w:val="2"/>
          <w:sz w:val="32"/>
          <w:szCs w:val="32"/>
          <w:shd w:val="clear" w:color="auto" w:fill="FFFFFF"/>
        </w:rPr>
        <w:t>各单位和个人会员，教育分会、各联络部</w:t>
      </w:r>
      <w:r>
        <w:rPr>
          <w:rFonts w:hint="eastAsia"/>
          <w:snapToGrid w:val="0"/>
          <w:szCs w:val="32"/>
        </w:rPr>
        <w:t>：</w:t>
      </w:r>
    </w:p>
    <w:p>
      <w:pPr>
        <w:spacing w:line="560" w:lineRule="exact"/>
        <w:ind w:firstLine="630"/>
        <w:rPr>
          <w:szCs w:val="32"/>
        </w:rPr>
      </w:pPr>
      <w:r>
        <w:rPr>
          <w:rFonts w:hint="eastAsia"/>
          <w:szCs w:val="32"/>
        </w:rPr>
        <w:t>为深入学习贯彻</w:t>
      </w:r>
      <w:r>
        <w:rPr>
          <w:rFonts w:hint="eastAsia"/>
          <w:szCs w:val="32"/>
          <w:lang w:eastAsia="zh-CN"/>
        </w:rPr>
        <w:t>党的</w:t>
      </w:r>
      <w:r>
        <w:rPr>
          <w:szCs w:val="32"/>
        </w:rPr>
        <w:t>二十大报告关于科技创新和青年工作重要论述</w:t>
      </w:r>
      <w:r>
        <w:rPr>
          <w:rFonts w:hint="eastAsia"/>
          <w:szCs w:val="32"/>
        </w:rPr>
        <w:t>，引导我区青年内部审计人员积极探索研究型审计，进一步</w:t>
      </w:r>
      <w:r>
        <w:rPr>
          <w:rFonts w:hint="eastAsia"/>
          <w:color w:val="000000"/>
          <w:szCs w:val="32"/>
        </w:rPr>
        <w:t>提升</w:t>
      </w:r>
      <w:r>
        <w:rPr>
          <w:rFonts w:hint="eastAsia"/>
          <w:szCs w:val="32"/>
        </w:rPr>
        <w:t>我区青年</w:t>
      </w:r>
      <w:r>
        <w:rPr>
          <w:rFonts w:hint="eastAsia"/>
          <w:color w:val="000000"/>
          <w:szCs w:val="32"/>
        </w:rPr>
        <w:t>审计队伍综合能力，更好发挥内部审计在审计监督体系中的基础性作用，经自治区审计厅批准，广西内部审计师协会</w:t>
      </w:r>
      <w:r>
        <w:rPr>
          <w:rFonts w:hint="eastAsia"/>
          <w:szCs w:val="32"/>
        </w:rPr>
        <w:t>拟于2022年11月举办广西内部审计青年论坛，现将有关事项通知如下：</w:t>
      </w:r>
    </w:p>
    <w:p>
      <w:pPr>
        <w:pStyle w:val="9"/>
        <w:numPr>
          <w:ilvl w:val="0"/>
          <w:numId w:val="1"/>
        </w:numPr>
        <w:spacing w:line="560" w:lineRule="exact"/>
        <w:ind w:firstLineChars="0"/>
        <w:rPr>
          <w:rFonts w:ascii="Times New Roman" w:hAnsi="Times New Roman" w:eastAsia="黑体"/>
          <w:sz w:val="32"/>
          <w:szCs w:val="32"/>
        </w:rPr>
      </w:pPr>
      <w:r>
        <w:rPr>
          <w:rFonts w:hint="eastAsia" w:ascii="Times New Roman" w:hAnsi="Times New Roman" w:eastAsia="黑体"/>
          <w:sz w:val="32"/>
          <w:szCs w:val="32"/>
        </w:rPr>
        <w:t>论坛主题</w:t>
      </w:r>
    </w:p>
    <w:p>
      <w:pPr>
        <w:spacing w:line="560" w:lineRule="exact"/>
        <w:ind w:firstLine="640"/>
        <w:rPr>
          <w:rFonts w:ascii="Times New Roman" w:eastAsia="黑体"/>
          <w:szCs w:val="32"/>
        </w:rPr>
      </w:pPr>
      <w:r>
        <w:rPr>
          <w:rFonts w:hint="eastAsia" w:ascii="Times New Roman"/>
          <w:szCs w:val="32"/>
        </w:rPr>
        <w:t>以“</w:t>
      </w:r>
      <w:r>
        <w:rPr>
          <w:rFonts w:hint="eastAsia" w:ascii="Times New Roman"/>
          <w:szCs w:val="32"/>
          <w:lang w:bidi="ar"/>
        </w:rPr>
        <w:t>坚持科技强审，践行科技求变，</w:t>
      </w:r>
      <w:r>
        <w:rPr>
          <w:rFonts w:hint="eastAsia" w:ascii="Times New Roman"/>
          <w:color w:val="000000"/>
          <w:szCs w:val="32"/>
          <w:lang w:bidi="ar"/>
        </w:rPr>
        <w:t>把信息技术切实转化为提升审计效率和查核问题精准度的有效生产力”作为本次论坛主题，</w:t>
      </w:r>
      <w:r>
        <w:rPr>
          <w:rFonts w:hint="eastAsia" w:hAnsi="仿宋_GB2312" w:cs="仿宋_GB2312"/>
          <w:szCs w:val="32"/>
        </w:rPr>
        <w:t>研讨如何更好地运用信息化技术开展内部审计工作，</w:t>
      </w:r>
      <w:r>
        <w:rPr>
          <w:rFonts w:hint="eastAsia"/>
          <w:color w:val="000000"/>
          <w:szCs w:val="32"/>
        </w:rPr>
        <w:t>以科技强审提高审计质效，</w:t>
      </w:r>
      <w:r>
        <w:rPr>
          <w:rFonts w:hint="eastAsia" w:hAnsi="仿宋_GB2312" w:cs="仿宋_GB2312"/>
          <w:szCs w:val="32"/>
        </w:rPr>
        <w:t>激励</w:t>
      </w:r>
      <w:r>
        <w:rPr>
          <w:rFonts w:hint="eastAsia" w:ascii="Times New Roman"/>
          <w:szCs w:val="32"/>
        </w:rPr>
        <w:t>青年主力军在审计信息化建设中发挥积极作用。</w:t>
      </w:r>
    </w:p>
    <w:p>
      <w:pPr>
        <w:spacing w:line="560" w:lineRule="exact"/>
        <w:ind w:firstLine="640"/>
        <w:rPr>
          <w:rFonts w:ascii="Times New Roman" w:eastAsia="黑体"/>
          <w:szCs w:val="32"/>
        </w:rPr>
      </w:pPr>
      <w:r>
        <w:rPr>
          <w:rFonts w:ascii="Times New Roman" w:eastAsia="黑体"/>
          <w:szCs w:val="32"/>
        </w:rPr>
        <w:t>二、参加</w:t>
      </w:r>
      <w:r>
        <w:rPr>
          <w:rFonts w:hint="eastAsia" w:ascii="Times New Roman" w:eastAsia="黑体"/>
          <w:szCs w:val="32"/>
        </w:rPr>
        <w:t>论坛对象</w:t>
      </w:r>
    </w:p>
    <w:p>
      <w:pPr>
        <w:spacing w:line="560" w:lineRule="exact"/>
        <w:ind w:firstLine="640"/>
        <w:rPr>
          <w:rFonts w:ascii="Times New Roman"/>
          <w:color w:val="191919"/>
          <w:szCs w:val="32"/>
        </w:rPr>
      </w:pPr>
      <w:r>
        <w:rPr>
          <w:rFonts w:hint="eastAsia" w:ascii="Times New Roman"/>
          <w:szCs w:val="32"/>
        </w:rPr>
        <w:t>协会会员单位内审部门主要领导、负责人</w:t>
      </w:r>
      <w:r>
        <w:rPr>
          <w:rFonts w:hint="eastAsia" w:ascii="Times New Roman"/>
          <w:szCs w:val="32"/>
          <w:lang w:eastAsia="zh-CN"/>
        </w:rPr>
        <w:t>，</w:t>
      </w:r>
      <w:r>
        <w:rPr>
          <w:rFonts w:hint="eastAsia" w:ascii="Times New Roman"/>
          <w:szCs w:val="32"/>
        </w:rPr>
        <w:t>40岁以下内审人员</w:t>
      </w:r>
      <w:r>
        <w:rPr>
          <w:rFonts w:hint="eastAsia" w:ascii="Times New Roman"/>
          <w:color w:val="191919"/>
          <w:szCs w:val="32"/>
        </w:rPr>
        <w:t>等。</w:t>
      </w:r>
    </w:p>
    <w:p>
      <w:pPr>
        <w:spacing w:line="560" w:lineRule="exact"/>
        <w:ind w:firstLine="640"/>
        <w:rPr>
          <w:rFonts w:ascii="Times New Roman" w:eastAsia="黑体"/>
          <w:szCs w:val="32"/>
        </w:rPr>
      </w:pPr>
      <w:r>
        <w:rPr>
          <w:rFonts w:hint="eastAsia" w:ascii="Times New Roman"/>
          <w:szCs w:val="32"/>
        </w:rPr>
        <w:t>开坛前开展内部审计计算机创新应用实例</w:t>
      </w:r>
      <w:r>
        <w:rPr>
          <w:rFonts w:hint="eastAsia" w:ascii="Times New Roman"/>
          <w:color w:val="000000"/>
          <w:szCs w:val="32"/>
          <w:lang w:bidi="ar"/>
        </w:rPr>
        <w:t>评比，向</w:t>
      </w:r>
      <w:r>
        <w:rPr>
          <w:rFonts w:hint="eastAsia"/>
          <w:color w:val="000000"/>
          <w:szCs w:val="32"/>
          <w:lang w:bidi="ar"/>
        </w:rPr>
        <w:t>各单位和个人会员</w:t>
      </w:r>
      <w:r>
        <w:rPr>
          <w:rFonts w:hint="eastAsia" w:hAnsi="仿宋_GB2312" w:cs="仿宋_GB2312"/>
          <w:szCs w:val="32"/>
        </w:rPr>
        <w:t>征集包含有大数据技术运用、计算机审计技术创新方法、新工具且适用内部审计的计算机审计创新应用实例。根据评比结果，推荐部分优秀实例在开坛期间进行演示，挖掘和推广优秀计算机审计技术方法。</w:t>
      </w:r>
    </w:p>
    <w:p>
      <w:pPr>
        <w:adjustRightInd w:val="0"/>
        <w:snapToGrid w:val="0"/>
        <w:spacing w:line="579" w:lineRule="exact"/>
        <w:ind w:firstLine="640" w:firstLineChars="200"/>
        <w:rPr>
          <w:rFonts w:ascii="Times New Roman" w:eastAsia="黑体"/>
          <w:szCs w:val="32"/>
        </w:rPr>
      </w:pPr>
      <w:r>
        <w:rPr>
          <w:rFonts w:hint="eastAsia" w:ascii="Times New Roman" w:eastAsia="黑体"/>
          <w:szCs w:val="32"/>
        </w:rPr>
        <w:t>三</w:t>
      </w:r>
      <w:r>
        <w:rPr>
          <w:rFonts w:ascii="Times New Roman" w:eastAsia="黑体"/>
          <w:szCs w:val="32"/>
        </w:rPr>
        <w:t>、</w:t>
      </w:r>
      <w:r>
        <w:rPr>
          <w:rFonts w:hint="eastAsia" w:ascii="Times New Roman" w:eastAsia="黑体"/>
          <w:szCs w:val="32"/>
        </w:rPr>
        <w:t>内部审计计算机创新应用实例的征集和报送要求</w:t>
      </w:r>
    </w:p>
    <w:p>
      <w:pPr>
        <w:pStyle w:val="2"/>
      </w:pPr>
    </w:p>
    <w:p>
      <w:pPr>
        <w:adjustRightInd w:val="0"/>
        <w:snapToGrid w:val="0"/>
        <w:spacing w:line="579" w:lineRule="exact"/>
        <w:ind w:firstLine="640" w:firstLineChars="200"/>
        <w:rPr>
          <w:szCs w:val="32"/>
        </w:rPr>
      </w:pPr>
      <w:r>
        <w:rPr>
          <w:rFonts w:hint="eastAsia" w:ascii="楷体_GB2312" w:eastAsia="楷体_GB2312"/>
          <w:szCs w:val="32"/>
        </w:rPr>
        <w:t>（一）关于计算机审计技术创新。</w:t>
      </w:r>
    </w:p>
    <w:p>
      <w:pPr>
        <w:adjustRightInd w:val="0"/>
        <w:snapToGrid w:val="0"/>
        <w:spacing w:line="579" w:lineRule="exact"/>
        <w:ind w:firstLine="640" w:firstLineChars="200"/>
        <w:rPr>
          <w:szCs w:val="32"/>
        </w:rPr>
      </w:pPr>
      <w:r>
        <w:rPr>
          <w:rFonts w:hint="eastAsia"/>
        </w:rPr>
        <w:t>计算机审计技术创新是指运用新技术取得有价值的审计成果的过程。按照创新程度不同，新审计技术可分为三类：一是原创性新技术，即在性能、特征、属性等方面与现有审计技术不同，如新开发专门用于某种审计业务或者审计管理的应用软件、系统等。二是改进性新技术，即对已有审计技术基础的改进，其性能优于已有审计技术，如对常见的通用型软件功能的某种改进。三是组合性新技术，即把已知的技术和知识进行组合，在质的方面提供新的技术性能和效果，并具有突出的技术特征和优点。这种组合创新，可以是现有审计技术之间的重新组合，也可以是现有审计技术与其他行业领域中相关技术的组合，还可以是其他行业领域中的技术在审计领域的首次应用。如大数据技术、区块链技术、人工智能技术等在其他行业领域中已不是新技术，但首次应用到内部审计领域成为一种组合创新。</w:t>
      </w:r>
    </w:p>
    <w:p>
      <w:pPr>
        <w:adjustRightInd w:val="0"/>
        <w:snapToGrid w:val="0"/>
        <w:spacing w:line="579" w:lineRule="exact"/>
        <w:ind w:firstLine="640" w:firstLineChars="200"/>
        <w:rPr>
          <w:rFonts w:ascii="楷体_GB2312" w:eastAsia="楷体_GB2312"/>
          <w:szCs w:val="32"/>
        </w:rPr>
      </w:pPr>
      <w:r>
        <w:rPr>
          <w:rFonts w:hint="eastAsia" w:ascii="楷体_GB2312" w:eastAsia="楷体_GB2312"/>
          <w:szCs w:val="32"/>
        </w:rPr>
        <w:t>（二）计算机审计技术创新应用实例参评申报材料要求（包括但不限于下列内容）。</w:t>
      </w:r>
    </w:p>
    <w:p>
      <w:pPr>
        <w:adjustRightInd w:val="0"/>
        <w:snapToGrid w:val="0"/>
        <w:spacing w:line="579" w:lineRule="exact"/>
        <w:ind w:firstLine="640"/>
      </w:pPr>
      <w:r>
        <w:rPr>
          <w:rFonts w:hint="eastAsia"/>
        </w:rPr>
        <w:t>1.计算机审计开发与应用情况，包括：原创性新技术设备的自主开发和应用情况；改进性新技术的更新改造和应用情况；组合性新技术的重组引进和应用情况。</w:t>
      </w:r>
    </w:p>
    <w:p>
      <w:pPr>
        <w:adjustRightInd w:val="0"/>
        <w:snapToGrid w:val="0"/>
        <w:spacing w:line="579" w:lineRule="exact"/>
      </w:pPr>
      <w:r>
        <w:rPr>
          <w:rFonts w:hint="eastAsia"/>
        </w:rPr>
        <w:t xml:space="preserve">    2.利用计算机技术开展内部审计项目的具体</w:t>
      </w:r>
      <w:r>
        <w:rPr>
          <w:rFonts w:hint="eastAsia"/>
          <w:szCs w:val="32"/>
        </w:rPr>
        <w:t>过程。概要叙述如何使用</w:t>
      </w:r>
      <w:r>
        <w:rPr>
          <w:rFonts w:hint="eastAsia"/>
        </w:rPr>
        <w:t>计算机技术与信息化手段</w:t>
      </w:r>
      <w:r>
        <w:rPr>
          <w:rFonts w:hint="eastAsia"/>
          <w:szCs w:val="32"/>
        </w:rPr>
        <w:t>进行现场管理、组织实施、采集转换数据及开展审计事项情况，详细描述如何利用计算机技术发现问题线索、取得成果的思路等。每一个问题或线索的发现过程，</w:t>
      </w:r>
      <w:r>
        <w:rPr>
          <w:rFonts w:hint="eastAsia" w:ascii="Times New Roman"/>
          <w:color w:val="000000"/>
          <w:kern w:val="0"/>
          <w:szCs w:val="32"/>
        </w:rPr>
        <w:t>应当清晰描述使用的软件、方法和技术情况，结合思路描述</w:t>
      </w:r>
      <w:r>
        <w:rPr>
          <w:rFonts w:hint="eastAsia" w:ascii="Times New Roman"/>
          <w:color w:val="000000"/>
        </w:rPr>
        <w:t>相关</w:t>
      </w:r>
      <w:r>
        <w:rPr>
          <w:rFonts w:hint="eastAsia" w:ascii="Times New Roman"/>
          <w:color w:val="000000"/>
          <w:kern w:val="0"/>
          <w:szCs w:val="32"/>
        </w:rPr>
        <w:t>审计步骤，适当截取操作截图，加以必要说明。</w:t>
      </w:r>
    </w:p>
    <w:p>
      <w:pPr>
        <w:adjustRightInd w:val="0"/>
        <w:snapToGrid w:val="0"/>
        <w:spacing w:line="579" w:lineRule="exact"/>
      </w:pPr>
      <w:r>
        <w:rPr>
          <w:rFonts w:hint="eastAsia"/>
        </w:rPr>
        <w:t xml:space="preserve">    3.利用计算机审计技术取得的主要成效情况（如审计成果、审计效率、经济社会效益等）。</w:t>
      </w:r>
    </w:p>
    <w:p>
      <w:pPr>
        <w:adjustRightInd w:val="0"/>
        <w:snapToGrid w:val="0"/>
        <w:spacing w:line="579" w:lineRule="exact"/>
        <w:ind w:firstLine="640" w:firstLineChars="200"/>
        <w:rPr>
          <w:szCs w:val="32"/>
        </w:rPr>
      </w:pPr>
      <w:r>
        <w:rPr>
          <w:rFonts w:hint="eastAsia" w:ascii="Mongolian Baiti" w:hAnsi="Mongolian Baiti" w:eastAsia="黑体" w:cs="Mongolian Baiti"/>
          <w:szCs w:val="32"/>
        </w:rPr>
        <w:t>4.</w:t>
      </w:r>
      <w:r>
        <w:rPr>
          <w:rFonts w:hint="eastAsia"/>
          <w:szCs w:val="32"/>
        </w:rPr>
        <w:t>申报参评的项目应提供如下材料：</w:t>
      </w:r>
    </w:p>
    <w:p>
      <w:pPr>
        <w:adjustRightInd w:val="0"/>
        <w:snapToGrid w:val="0"/>
        <w:spacing w:line="579" w:lineRule="exact"/>
        <w:ind w:firstLine="640" w:firstLineChars="200"/>
        <w:rPr>
          <w:szCs w:val="32"/>
        </w:rPr>
      </w:pPr>
      <w:r>
        <w:rPr>
          <w:rFonts w:hint="eastAsia"/>
          <w:szCs w:val="32"/>
        </w:rPr>
        <w:t>（1）计算机审计技术创新情况统计表。统计表</w:t>
      </w:r>
      <w:r>
        <w:rPr>
          <w:szCs w:val="32"/>
        </w:rPr>
        <w:t>内容包括：</w:t>
      </w:r>
      <w:r>
        <w:rPr>
          <w:rFonts w:hint="eastAsia"/>
          <w:szCs w:val="32"/>
        </w:rPr>
        <w:t>审计技术创新名称、创新类型、特征描述、应用领域、应用效果等。</w:t>
      </w:r>
    </w:p>
    <w:p>
      <w:pPr>
        <w:adjustRightInd w:val="0"/>
        <w:snapToGrid w:val="0"/>
        <w:spacing w:line="579" w:lineRule="exact"/>
        <w:ind w:firstLine="640" w:firstLineChars="200"/>
        <w:rPr>
          <w:szCs w:val="32"/>
        </w:rPr>
      </w:pPr>
      <w:r>
        <w:rPr>
          <w:rFonts w:hint="eastAsia"/>
          <w:szCs w:val="32"/>
        </w:rPr>
        <w:t>（2）计算机审计技术创新应用实例文档。实</w:t>
      </w:r>
      <w:r>
        <w:rPr>
          <w:szCs w:val="32"/>
        </w:rPr>
        <w:t>例内容包括：技术名称</w:t>
      </w:r>
      <w:r>
        <w:rPr>
          <w:rFonts w:hint="eastAsia"/>
          <w:szCs w:val="32"/>
        </w:rPr>
        <w:t>及</w:t>
      </w:r>
      <w:r>
        <w:rPr>
          <w:szCs w:val="32"/>
        </w:rPr>
        <w:t>创新类型、背景</w:t>
      </w:r>
      <w:r>
        <w:rPr>
          <w:rFonts w:hint="eastAsia"/>
          <w:szCs w:val="32"/>
        </w:rPr>
        <w:t>概述、适用领域</w:t>
      </w:r>
      <w:r>
        <w:rPr>
          <w:szCs w:val="32"/>
        </w:rPr>
        <w:t>、</w:t>
      </w:r>
      <w:r>
        <w:rPr>
          <w:rFonts w:hint="eastAsia"/>
          <w:szCs w:val="32"/>
        </w:rPr>
        <w:t>利用计算机技术开展内部审计的具体过程</w:t>
      </w:r>
      <w:r>
        <w:rPr>
          <w:szCs w:val="32"/>
        </w:rPr>
        <w:t>、操作步骤、</w:t>
      </w:r>
      <w:r>
        <w:rPr>
          <w:rFonts w:hint="eastAsia"/>
        </w:rPr>
        <w:t>取得的主要成效</w:t>
      </w:r>
      <w:r>
        <w:rPr>
          <w:szCs w:val="32"/>
        </w:rPr>
        <w:t>、</w:t>
      </w:r>
      <w:r>
        <w:rPr>
          <w:rFonts w:hint="eastAsia"/>
          <w:szCs w:val="32"/>
        </w:rPr>
        <w:t>工作</w:t>
      </w:r>
      <w:r>
        <w:rPr>
          <w:szCs w:val="32"/>
        </w:rPr>
        <w:t>创新点、参与人员所在单位及姓名、创新实际完成时间等要素。</w:t>
      </w:r>
      <w:r>
        <w:rPr>
          <w:rFonts w:hint="eastAsia"/>
          <w:szCs w:val="32"/>
        </w:rPr>
        <w:t>实</w:t>
      </w:r>
      <w:r>
        <w:rPr>
          <w:szCs w:val="32"/>
        </w:rPr>
        <w:t>例要素的编写应内容齐全，并且文字通顺、表述清晰完整、可读性强。对各要素的具体要求和说明，参见《</w:t>
      </w:r>
      <w:r>
        <w:rPr>
          <w:rFonts w:hint="eastAsia"/>
          <w:szCs w:val="32"/>
        </w:rPr>
        <w:t>内部审计计算机创新应用实例</w:t>
      </w:r>
      <w:r>
        <w:rPr>
          <w:szCs w:val="32"/>
        </w:rPr>
        <w:t>模板》（附件）。为了保证</w:t>
      </w:r>
      <w:r>
        <w:rPr>
          <w:rFonts w:hint="eastAsia"/>
          <w:szCs w:val="32"/>
        </w:rPr>
        <w:t>实</w:t>
      </w:r>
      <w:r>
        <w:rPr>
          <w:szCs w:val="32"/>
        </w:rPr>
        <w:t>例格式标准规范，提交的</w:t>
      </w:r>
      <w:r>
        <w:rPr>
          <w:rFonts w:hint="eastAsia"/>
          <w:szCs w:val="32"/>
        </w:rPr>
        <w:t>实</w:t>
      </w:r>
      <w:r>
        <w:rPr>
          <w:szCs w:val="32"/>
        </w:rPr>
        <w:t>例须按照《</w:t>
      </w:r>
      <w:r>
        <w:rPr>
          <w:rFonts w:hint="eastAsia"/>
          <w:szCs w:val="32"/>
        </w:rPr>
        <w:t>内部审计计算机创新应用实例</w:t>
      </w:r>
      <w:r>
        <w:rPr>
          <w:szCs w:val="32"/>
        </w:rPr>
        <w:t>模板》撰写</w:t>
      </w:r>
      <w:r>
        <w:rPr>
          <w:rFonts w:hint="eastAsia"/>
          <w:szCs w:val="32"/>
        </w:rPr>
        <w:t>，</w:t>
      </w:r>
      <w:r>
        <w:rPr>
          <w:szCs w:val="32"/>
        </w:rPr>
        <w:t>每个</w:t>
      </w:r>
      <w:r>
        <w:rPr>
          <w:rFonts w:hint="eastAsia"/>
          <w:szCs w:val="32"/>
        </w:rPr>
        <w:t>应用实</w:t>
      </w:r>
      <w:r>
        <w:rPr>
          <w:szCs w:val="32"/>
        </w:rPr>
        <w:t>例的最后一页，附该</w:t>
      </w:r>
      <w:r>
        <w:rPr>
          <w:rFonts w:hint="eastAsia"/>
          <w:szCs w:val="32"/>
        </w:rPr>
        <w:t>实</w:t>
      </w:r>
      <w:r>
        <w:rPr>
          <w:szCs w:val="32"/>
        </w:rPr>
        <w:t>例作者的姓名、联系电话。</w:t>
      </w:r>
    </w:p>
    <w:p>
      <w:pPr>
        <w:adjustRightInd w:val="0"/>
        <w:snapToGrid w:val="0"/>
        <w:spacing w:line="579" w:lineRule="exact"/>
        <w:ind w:firstLine="640" w:firstLineChars="200"/>
        <w:rPr>
          <w:rFonts w:ascii="楷体_GB2312" w:eastAsia="楷体_GB2312"/>
          <w:szCs w:val="32"/>
        </w:rPr>
      </w:pPr>
      <w:r>
        <w:rPr>
          <w:rFonts w:hint="eastAsia" w:ascii="楷体_GB2312" w:eastAsia="楷体_GB2312"/>
          <w:szCs w:val="32"/>
        </w:rPr>
        <w:t>（三）实例材料收集和报送。</w:t>
      </w:r>
    </w:p>
    <w:p>
      <w:pPr>
        <w:adjustRightInd w:val="0"/>
        <w:snapToGrid w:val="0"/>
        <w:spacing w:line="579" w:lineRule="exact"/>
        <w:ind w:firstLine="640" w:firstLineChars="200"/>
        <w:rPr>
          <w:szCs w:val="32"/>
        </w:rPr>
      </w:pPr>
      <w:r>
        <w:rPr>
          <w:rFonts w:hint="eastAsia"/>
          <w:szCs w:val="32"/>
        </w:rPr>
        <w:t>广西内部审计师协会秘书处负责材料收集。参评材料需同时报送纸质版和Word版，纸质材料应加盖本单位公章后邮寄至协会秘书处，Word版材料发送时请在主题栏内写明“报送单位+青年论坛”，截止时间为11月21日。</w:t>
      </w:r>
    </w:p>
    <w:p>
      <w:pPr>
        <w:spacing w:line="560" w:lineRule="exact"/>
        <w:rPr>
          <w:rFonts w:ascii="Times New Roman"/>
          <w:szCs w:val="32"/>
        </w:rPr>
      </w:pPr>
      <w:r>
        <w:rPr>
          <w:rFonts w:ascii="Times New Roman"/>
          <w:szCs w:val="32"/>
        </w:rPr>
        <w:t xml:space="preserve">    </w:t>
      </w:r>
      <w:r>
        <w:rPr>
          <w:rFonts w:ascii="Times New Roman" w:eastAsia="黑体"/>
          <w:szCs w:val="32"/>
        </w:rPr>
        <w:t>四、联系方式</w:t>
      </w:r>
    </w:p>
    <w:p>
      <w:pPr>
        <w:spacing w:line="560" w:lineRule="exact"/>
        <w:ind w:firstLine="640"/>
        <w:rPr>
          <w:rFonts w:ascii="Times New Roman"/>
          <w:szCs w:val="32"/>
        </w:rPr>
      </w:pPr>
      <w:r>
        <w:rPr>
          <w:rFonts w:ascii="Times New Roman"/>
          <w:szCs w:val="32"/>
        </w:rPr>
        <w:t>联系人:</w:t>
      </w:r>
      <w:r>
        <w:rPr>
          <w:rFonts w:hint="eastAsia" w:ascii="Times New Roman"/>
          <w:szCs w:val="32"/>
        </w:rPr>
        <w:t>蒋冰、安玥</w:t>
      </w:r>
      <w:r>
        <w:rPr>
          <w:rFonts w:ascii="Times New Roman"/>
          <w:szCs w:val="32"/>
        </w:rPr>
        <w:t>，联系电话：0771—</w:t>
      </w:r>
      <w:r>
        <w:rPr>
          <w:rFonts w:hint="eastAsia" w:ascii="Times New Roman"/>
          <w:szCs w:val="32"/>
        </w:rPr>
        <w:t>5858132，0771-5860343</w:t>
      </w:r>
    </w:p>
    <w:p>
      <w:pPr>
        <w:spacing w:line="560" w:lineRule="exact"/>
        <w:ind w:firstLine="640"/>
      </w:pPr>
      <w:r>
        <w:rPr>
          <w:rFonts w:hint="eastAsia" w:ascii="Times New Roman"/>
          <w:szCs w:val="32"/>
        </w:rPr>
        <w:t>材料邮寄地址：南宁市民族大道98号广西内部审计师协会秘书处</w:t>
      </w:r>
    </w:p>
    <w:p>
      <w:pPr>
        <w:spacing w:line="560" w:lineRule="exact"/>
        <w:ind w:firstLine="640" w:firstLineChars="200"/>
        <w:rPr>
          <w:rFonts w:ascii="Times New Roman"/>
          <w:szCs w:val="32"/>
        </w:rPr>
      </w:pPr>
      <w:r>
        <w:rPr>
          <w:rFonts w:ascii="Times New Roman"/>
          <w:szCs w:val="32"/>
        </w:rPr>
        <w:t>电子邮箱：gxiia＠163.com。</w:t>
      </w:r>
    </w:p>
    <w:p>
      <w:pPr>
        <w:spacing w:line="560" w:lineRule="exact"/>
        <w:rPr>
          <w:rFonts w:ascii="Times New Roman"/>
          <w:szCs w:val="32"/>
        </w:rPr>
      </w:pPr>
    </w:p>
    <w:p>
      <w:pPr>
        <w:adjustRightInd w:val="0"/>
        <w:snapToGrid w:val="0"/>
        <w:spacing w:line="579" w:lineRule="exact"/>
        <w:ind w:firstLine="640" w:firstLineChars="200"/>
        <w:rPr>
          <w:rFonts w:hint="eastAsia" w:ascii="Times New Roman"/>
          <w:szCs w:val="32"/>
        </w:rPr>
      </w:pPr>
      <w:r>
        <w:rPr>
          <w:rFonts w:hint="eastAsia" w:ascii="Times New Roman"/>
          <w:szCs w:val="32"/>
        </w:rPr>
        <w:t>附件：1.内部审计技术创新情况统计表</w:t>
      </w:r>
    </w:p>
    <w:p>
      <w:pPr>
        <w:numPr>
          <w:ilvl w:val="0"/>
          <w:numId w:val="0"/>
        </w:numPr>
        <w:adjustRightInd w:val="0"/>
        <w:snapToGrid w:val="0"/>
        <w:spacing w:line="579" w:lineRule="exact"/>
        <w:ind w:firstLine="1600" w:firstLineChars="500"/>
        <w:rPr>
          <w:rFonts w:hint="eastAsia" w:ascii="Times New Roman"/>
          <w:szCs w:val="32"/>
        </w:rPr>
      </w:pPr>
      <w:r>
        <w:rPr>
          <w:rFonts w:hint="eastAsia" w:ascii="Times New Roman"/>
          <w:szCs w:val="32"/>
          <w:lang w:val="en-US" w:eastAsia="zh-CN"/>
        </w:rPr>
        <w:t>2.</w:t>
      </w:r>
      <w:r>
        <w:rPr>
          <w:rFonts w:hint="eastAsia" w:ascii="Times New Roman"/>
          <w:szCs w:val="32"/>
        </w:rPr>
        <w:t>内部审计计算机创新应用实例模板</w:t>
      </w:r>
    </w:p>
    <w:p>
      <w:pPr>
        <w:pStyle w:val="2"/>
        <w:widowControl w:val="0"/>
        <w:numPr>
          <w:ilvl w:val="0"/>
          <w:numId w:val="0"/>
        </w:numPr>
        <w:snapToGrid w:val="0"/>
        <w:jc w:val="left"/>
        <w:rPr>
          <w:rFonts w:hint="eastAsia"/>
        </w:rPr>
      </w:pPr>
    </w:p>
    <w:p>
      <w:pPr>
        <w:pStyle w:val="2"/>
      </w:pPr>
    </w:p>
    <w:p>
      <w:pPr>
        <w:pStyle w:val="2"/>
      </w:pPr>
    </w:p>
    <w:p>
      <w:pPr>
        <w:adjustRightInd w:val="0"/>
        <w:snapToGrid w:val="0"/>
        <w:spacing w:line="579" w:lineRule="exact"/>
        <w:rPr>
          <w:rFonts w:hint="eastAsia"/>
        </w:rPr>
      </w:pPr>
    </w:p>
    <w:p>
      <w:pPr>
        <w:adjustRightInd w:val="0"/>
        <w:snapToGrid w:val="0"/>
        <w:spacing w:line="579" w:lineRule="exact"/>
        <w:ind w:left="5440" w:leftChars="200" w:hanging="4800" w:hangingChars="1500"/>
        <w:rPr>
          <w:rFonts w:hint="eastAsia" w:eastAsia="仿宋_GB2312"/>
          <w:lang w:eastAsia="zh-CN"/>
        </w:rPr>
      </w:pPr>
    </w:p>
    <w:p>
      <w:pPr>
        <w:adjustRightInd w:val="0"/>
        <w:snapToGrid w:val="0"/>
        <w:spacing w:line="579" w:lineRule="exact"/>
        <w:ind w:left="5440" w:leftChars="200" w:hanging="4800" w:hangingChars="1500"/>
        <w:rPr>
          <w:rFonts w:ascii="Times New Roman"/>
          <w:szCs w:val="32"/>
        </w:rPr>
      </w:pPr>
      <w:r>
        <w:rPr>
          <w:rFonts w:hint="eastAsia"/>
        </w:rPr>
        <w:t xml:space="preserve">                           </w:t>
      </w:r>
      <w:r>
        <w:rPr>
          <w:rFonts w:hint="eastAsia" w:ascii="Times New Roman"/>
          <w:szCs w:val="32"/>
        </w:rPr>
        <w:t>广西内部审计师协会                                                        2022年10年18日</w:t>
      </w:r>
    </w:p>
    <w:p>
      <w:pPr>
        <w:pStyle w:val="3"/>
        <w:sectPr>
          <w:pgSz w:w="11906" w:h="16838"/>
          <w:pgMar w:top="1440" w:right="1800" w:bottom="1440" w:left="1800" w:header="851" w:footer="992" w:gutter="0"/>
          <w:cols w:space="425" w:num="1"/>
          <w:docGrid w:type="lines" w:linePitch="312" w:charSpace="0"/>
        </w:sectPr>
      </w:pPr>
    </w:p>
    <w:p>
      <w:pPr>
        <w:pStyle w:val="4"/>
        <w:spacing w:before="0" w:after="0" w:line="560" w:lineRule="exact"/>
        <w:rPr>
          <w:rFonts w:ascii="黑体" w:hAnsi="黑体" w:cs="黑体"/>
          <w:b w:val="0"/>
          <w:bCs w:val="0"/>
        </w:rPr>
      </w:pPr>
      <w:r>
        <w:rPr>
          <w:rFonts w:hint="eastAsia" w:ascii="黑体" w:hAnsi="黑体" w:cs="黑体"/>
          <w:b w:val="0"/>
          <w:bCs w:val="0"/>
        </w:rPr>
        <w:t>附件1</w:t>
      </w:r>
    </w:p>
    <w:p>
      <w:pPr>
        <w:adjustRightInd w:val="0"/>
        <w:snapToGrid w:val="0"/>
        <w:spacing w:line="579" w:lineRule="exact"/>
        <w:jc w:val="left"/>
        <w:rPr>
          <w:rFonts w:ascii="黑体" w:eastAsia="黑体"/>
          <w:szCs w:val="32"/>
        </w:rPr>
      </w:pPr>
    </w:p>
    <w:p>
      <w:pPr>
        <w:adjustRightInd w:val="0"/>
        <w:snapToGrid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内部审计技术创新情况统计表</w:t>
      </w:r>
    </w:p>
    <w:p>
      <w:pPr>
        <w:pStyle w:val="3"/>
      </w:pPr>
    </w:p>
    <w:tbl>
      <w:tblPr>
        <w:tblStyle w:val="6"/>
        <w:tblW w:w="12995" w:type="dxa"/>
        <w:tblInd w:w="0" w:type="dxa"/>
        <w:tblLayout w:type="fixed"/>
        <w:tblCellMar>
          <w:top w:w="0" w:type="dxa"/>
          <w:left w:w="0" w:type="dxa"/>
          <w:bottom w:w="0" w:type="dxa"/>
          <w:right w:w="0" w:type="dxa"/>
        </w:tblCellMar>
      </w:tblPr>
      <w:tblGrid>
        <w:gridCol w:w="401"/>
        <w:gridCol w:w="1864"/>
        <w:gridCol w:w="675"/>
        <w:gridCol w:w="651"/>
        <w:gridCol w:w="641"/>
        <w:gridCol w:w="2675"/>
        <w:gridCol w:w="1193"/>
        <w:gridCol w:w="3090"/>
        <w:gridCol w:w="1805"/>
      </w:tblGrid>
      <w:tr>
        <w:tblPrEx>
          <w:tblCellMar>
            <w:top w:w="0" w:type="dxa"/>
            <w:left w:w="0" w:type="dxa"/>
            <w:bottom w:w="0" w:type="dxa"/>
            <w:right w:w="0" w:type="dxa"/>
          </w:tblCellMar>
        </w:tblPrEx>
        <w:trPr>
          <w:trHeight w:val="485" w:hRule="atLeast"/>
        </w:trPr>
        <w:tc>
          <w:tcPr>
            <w:tcW w:w="40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序号</w:t>
            </w:r>
          </w:p>
        </w:tc>
        <w:tc>
          <w:tcPr>
            <w:tcW w:w="18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kern w:val="0"/>
                <w:sz w:val="18"/>
                <w:szCs w:val="18"/>
                <w:lang w:bidi="ar"/>
              </w:rPr>
            </w:pPr>
            <w:r>
              <w:rPr>
                <w:rFonts w:hint="eastAsia" w:hAnsi="仿宋_GB2312" w:cs="仿宋_GB2312"/>
                <w:color w:val="000000"/>
                <w:kern w:val="0"/>
                <w:sz w:val="18"/>
                <w:szCs w:val="18"/>
                <w:lang w:bidi="ar"/>
              </w:rPr>
              <w:t>内部审计技术创新</w:t>
            </w:r>
          </w:p>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名称</w:t>
            </w:r>
          </w:p>
        </w:tc>
        <w:tc>
          <w:tcPr>
            <w:tcW w:w="196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创新类型</w:t>
            </w:r>
          </w:p>
        </w:tc>
        <w:tc>
          <w:tcPr>
            <w:tcW w:w="267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kern w:val="0"/>
                <w:sz w:val="18"/>
                <w:szCs w:val="18"/>
                <w:lang w:bidi="ar"/>
              </w:rPr>
            </w:pPr>
            <w:r>
              <w:rPr>
                <w:rFonts w:hint="eastAsia" w:hAnsi="仿宋_GB2312" w:cs="仿宋_GB2312"/>
                <w:color w:val="000000"/>
                <w:kern w:val="0"/>
                <w:sz w:val="18"/>
                <w:szCs w:val="18"/>
                <w:lang w:bidi="ar"/>
              </w:rPr>
              <w:t>简单描述</w:t>
            </w:r>
          </w:p>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（包括特征）</w:t>
            </w:r>
          </w:p>
        </w:tc>
        <w:tc>
          <w:tcPr>
            <w:tcW w:w="1193"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应用领域</w:t>
            </w:r>
          </w:p>
        </w:tc>
        <w:tc>
          <w:tcPr>
            <w:tcW w:w="30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应用效果</w:t>
            </w:r>
          </w:p>
        </w:tc>
        <w:tc>
          <w:tcPr>
            <w:tcW w:w="180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kern w:val="0"/>
                <w:sz w:val="18"/>
                <w:szCs w:val="18"/>
                <w:lang w:bidi="ar"/>
              </w:rPr>
            </w:pPr>
            <w:r>
              <w:rPr>
                <w:rFonts w:hint="eastAsia" w:hAnsi="仿宋_GB2312" w:cs="仿宋_GB2312"/>
                <w:color w:val="000000"/>
                <w:kern w:val="0"/>
                <w:sz w:val="18"/>
                <w:szCs w:val="18"/>
                <w:lang w:bidi="ar"/>
              </w:rPr>
              <w:t>申报单位</w:t>
            </w:r>
          </w:p>
        </w:tc>
      </w:tr>
      <w:tr>
        <w:tblPrEx>
          <w:tblCellMar>
            <w:top w:w="0" w:type="dxa"/>
            <w:left w:w="0" w:type="dxa"/>
            <w:bottom w:w="0" w:type="dxa"/>
            <w:right w:w="0" w:type="dxa"/>
          </w:tblCellMar>
        </w:tblPrEx>
        <w:trPr>
          <w:trHeight w:val="23" w:hRule="atLeast"/>
        </w:trPr>
        <w:tc>
          <w:tcPr>
            <w:tcW w:w="40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Ansi="仿宋_GB2312" w:cs="仿宋_GB2312"/>
                <w:color w:val="000000"/>
                <w:sz w:val="18"/>
                <w:szCs w:val="18"/>
              </w:rPr>
            </w:pPr>
          </w:p>
        </w:tc>
        <w:tc>
          <w:tcPr>
            <w:tcW w:w="18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Ansi="仿宋_GB2312" w:cs="仿宋_GB2312"/>
                <w:color w:val="000000"/>
                <w:sz w:val="18"/>
                <w:szCs w:val="18"/>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原创性</w:t>
            </w: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改进性</w:t>
            </w:r>
          </w:p>
        </w:tc>
        <w:tc>
          <w:tcPr>
            <w:tcW w:w="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Ansi="仿宋_GB2312" w:cs="仿宋_GB2312"/>
                <w:color w:val="000000"/>
                <w:sz w:val="18"/>
                <w:szCs w:val="18"/>
              </w:rPr>
            </w:pPr>
            <w:r>
              <w:rPr>
                <w:rFonts w:hint="eastAsia" w:hAnsi="仿宋_GB2312" w:cs="仿宋_GB2312"/>
                <w:color w:val="000000"/>
                <w:kern w:val="0"/>
                <w:sz w:val="18"/>
                <w:szCs w:val="18"/>
                <w:lang w:bidi="ar"/>
              </w:rPr>
              <w:t>组合性</w:t>
            </w:r>
          </w:p>
        </w:tc>
        <w:tc>
          <w:tcPr>
            <w:tcW w:w="267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Ansi="仿宋_GB2312" w:cs="仿宋_GB2312"/>
                <w:color w:val="000000"/>
                <w:sz w:val="18"/>
                <w:szCs w:val="18"/>
              </w:rPr>
            </w:pPr>
          </w:p>
        </w:tc>
        <w:tc>
          <w:tcPr>
            <w:tcW w:w="1193"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Ansi="仿宋_GB2312" w:cs="仿宋_GB2312"/>
                <w:color w:val="000000"/>
                <w:sz w:val="18"/>
                <w:szCs w:val="18"/>
              </w:rPr>
            </w:pPr>
          </w:p>
        </w:tc>
        <w:tc>
          <w:tcPr>
            <w:tcW w:w="30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Ansi="仿宋_GB2312" w:cs="仿宋_GB2312"/>
                <w:color w:val="000000"/>
                <w:sz w:val="18"/>
                <w:szCs w:val="18"/>
              </w:rPr>
            </w:pPr>
          </w:p>
        </w:tc>
        <w:tc>
          <w:tcPr>
            <w:tcW w:w="1805"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Ansi="仿宋_GB2312" w:cs="仿宋_GB2312"/>
                <w:color w:val="000000"/>
                <w:sz w:val="18"/>
                <w:szCs w:val="18"/>
              </w:rPr>
            </w:pPr>
          </w:p>
        </w:tc>
      </w:tr>
      <w:tr>
        <w:tblPrEx>
          <w:tblCellMar>
            <w:top w:w="0" w:type="dxa"/>
            <w:left w:w="0" w:type="dxa"/>
            <w:bottom w:w="0" w:type="dxa"/>
            <w:right w:w="0" w:type="dxa"/>
          </w:tblCellMar>
        </w:tblPrEx>
        <w:trPr>
          <w:trHeight w:val="23"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rPr>
            </w:pPr>
          </w:p>
          <w:p>
            <w:pPr>
              <w:pStyle w:val="2"/>
              <w:rPr>
                <w:rFonts w:ascii="仿宋_GB2312" w:hAnsi="仿宋_GB2312" w:eastAsia="仿宋_GB2312" w:cs="仿宋_GB2312"/>
              </w:rPr>
            </w:pPr>
          </w:p>
        </w:tc>
      </w:tr>
      <w:tr>
        <w:tblPrEx>
          <w:tblCellMar>
            <w:top w:w="0" w:type="dxa"/>
            <w:left w:w="0" w:type="dxa"/>
            <w:bottom w:w="0" w:type="dxa"/>
            <w:right w:w="0" w:type="dxa"/>
          </w:tblCellMar>
        </w:tblPrEx>
        <w:trPr>
          <w:trHeight w:val="23"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rPr>
            </w:pPr>
          </w:p>
          <w:p>
            <w:pPr>
              <w:pStyle w:val="2"/>
              <w:rPr>
                <w:rFonts w:ascii="仿宋_GB2312" w:hAnsi="仿宋_GB2312" w:eastAsia="仿宋_GB2312" w:cs="仿宋_GB2312"/>
              </w:rPr>
            </w:pPr>
          </w:p>
        </w:tc>
      </w:tr>
      <w:tr>
        <w:tblPrEx>
          <w:tblCellMar>
            <w:top w:w="0" w:type="dxa"/>
            <w:left w:w="0" w:type="dxa"/>
            <w:bottom w:w="0" w:type="dxa"/>
            <w:right w:w="0" w:type="dxa"/>
          </w:tblCellMar>
        </w:tblPrEx>
        <w:trPr>
          <w:trHeight w:val="23"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rPr>
            </w:pPr>
          </w:p>
          <w:p>
            <w:pPr>
              <w:pStyle w:val="2"/>
              <w:rPr>
                <w:rFonts w:ascii="仿宋_GB2312" w:hAnsi="仿宋_GB2312" w:eastAsia="仿宋_GB2312" w:cs="仿宋_GB2312"/>
              </w:rPr>
            </w:pPr>
          </w:p>
        </w:tc>
      </w:tr>
      <w:tr>
        <w:tblPrEx>
          <w:tblCellMar>
            <w:top w:w="0" w:type="dxa"/>
            <w:left w:w="0" w:type="dxa"/>
            <w:bottom w:w="0" w:type="dxa"/>
            <w:right w:w="0" w:type="dxa"/>
          </w:tblCellMar>
        </w:tblPrEx>
        <w:trPr>
          <w:trHeight w:val="875" w:hRule="atLeast"/>
        </w:trPr>
        <w:tc>
          <w:tcPr>
            <w:tcW w:w="4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6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2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1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3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Ansi="仿宋_GB2312" w:cs="仿宋_GB2312"/>
                <w:color w:val="000000"/>
                <w:sz w:val="11"/>
                <w:szCs w:val="11"/>
              </w:rPr>
            </w:pPr>
          </w:p>
        </w:tc>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rPr>
                <w:rFonts w:ascii="仿宋_GB2312" w:hAnsi="仿宋_GB2312" w:eastAsia="仿宋_GB2312" w:cs="仿宋_GB2312"/>
              </w:rPr>
            </w:pPr>
          </w:p>
        </w:tc>
      </w:tr>
      <w:tr>
        <w:tblPrEx>
          <w:tblCellMar>
            <w:top w:w="0" w:type="dxa"/>
            <w:left w:w="0" w:type="dxa"/>
            <w:bottom w:w="0" w:type="dxa"/>
            <w:right w:w="0" w:type="dxa"/>
          </w:tblCellMar>
        </w:tblPrEx>
        <w:trPr>
          <w:trHeight w:val="23" w:hRule="atLeast"/>
        </w:trPr>
        <w:tc>
          <w:tcPr>
            <w:tcW w:w="12995" w:type="dxa"/>
            <w:gridSpan w:val="9"/>
            <w:tcBorders>
              <w:top w:val="nil"/>
              <w:left w:val="nil"/>
              <w:bottom w:val="nil"/>
              <w:right w:val="nil"/>
            </w:tcBorders>
            <w:tcMar>
              <w:top w:w="15" w:type="dxa"/>
              <w:left w:w="15" w:type="dxa"/>
              <w:right w:w="15" w:type="dxa"/>
            </w:tcMar>
            <w:vAlign w:val="center"/>
          </w:tcPr>
          <w:p>
            <w:pPr>
              <w:rPr>
                <w:rFonts w:hAnsi="仿宋_GB2312" w:cs="仿宋_GB2312"/>
                <w:color w:val="000000"/>
                <w:kern w:val="0"/>
                <w:sz w:val="16"/>
                <w:szCs w:val="16"/>
                <w:lang w:bidi="ar"/>
              </w:rPr>
            </w:pPr>
            <w:r>
              <w:rPr>
                <w:rFonts w:hint="eastAsia" w:hAnsi="仿宋_GB2312" w:cs="仿宋_GB2312"/>
                <w:color w:val="000000"/>
                <w:kern w:val="0"/>
                <w:sz w:val="16"/>
                <w:szCs w:val="16"/>
                <w:lang w:bidi="ar"/>
              </w:rPr>
              <w:t>注：应用领域，是指现行的审计业务分类，例如，经济责任审计、工程项目审计、合同审计、内控审计和专项资金审计等，适用于多个领域的，请一一列出，适用于全部领域可注明通用。</w:t>
            </w:r>
          </w:p>
        </w:tc>
      </w:tr>
    </w:tbl>
    <w:p>
      <w:pPr>
        <w:pStyle w:val="3"/>
        <w:sectPr>
          <w:pgSz w:w="16838" w:h="11906" w:orient="landscape"/>
          <w:pgMar w:top="1800" w:right="1440" w:bottom="1800" w:left="1440" w:header="851" w:footer="992" w:gutter="0"/>
          <w:cols w:space="425" w:num="1"/>
          <w:docGrid w:type="lines" w:linePitch="312" w:charSpace="0"/>
        </w:sectPr>
      </w:pPr>
    </w:p>
    <w:p>
      <w:pPr>
        <w:pStyle w:val="4"/>
        <w:spacing w:before="0" w:after="0" w:line="560" w:lineRule="exact"/>
        <w:rPr>
          <w:rFonts w:ascii="黑体" w:hAnsi="黑体" w:cs="黑体"/>
          <w:b w:val="0"/>
          <w:bCs w:val="0"/>
        </w:rPr>
      </w:pPr>
      <w:r>
        <w:rPr>
          <w:rFonts w:hint="eastAsia" w:ascii="黑体" w:hAnsi="黑体" w:cs="黑体"/>
          <w:b w:val="0"/>
          <w:bCs w:val="0"/>
        </w:rPr>
        <w:t>附件2</w:t>
      </w:r>
    </w:p>
    <w:p/>
    <w:p>
      <w:pPr>
        <w:adjustRightInd w:val="0"/>
        <w:snapToGrid w:val="0"/>
        <w:spacing w:line="579"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内部审计计算机创新应用实例模板</w:t>
      </w:r>
    </w:p>
    <w:p>
      <w:pPr>
        <w:pStyle w:val="3"/>
      </w:pPr>
    </w:p>
    <w:p>
      <w:pPr>
        <w:numPr>
          <w:ilvl w:val="0"/>
          <w:numId w:val="2"/>
        </w:numPr>
        <w:adjustRightInd w:val="0"/>
        <w:snapToGrid w:val="0"/>
        <w:spacing w:line="579" w:lineRule="exact"/>
        <w:ind w:firstLine="640" w:firstLineChars="200"/>
        <w:rPr>
          <w:rFonts w:ascii="黑体" w:eastAsia="黑体"/>
          <w:szCs w:val="32"/>
        </w:rPr>
      </w:pPr>
      <w:r>
        <w:rPr>
          <w:rFonts w:hint="eastAsia" w:ascii="黑体" w:eastAsia="黑体"/>
          <w:szCs w:val="32"/>
        </w:rPr>
        <w:t>技术名称及创新类型</w:t>
      </w:r>
    </w:p>
    <w:p>
      <w:pPr>
        <w:adjustRightInd w:val="0"/>
        <w:snapToGrid w:val="0"/>
        <w:spacing w:line="579" w:lineRule="exact"/>
        <w:ind w:firstLine="640" w:firstLineChars="200"/>
        <w:rPr>
          <w:szCs w:val="32"/>
        </w:rPr>
      </w:pPr>
      <w:r>
        <w:rPr>
          <w:szCs w:val="32"/>
        </w:rPr>
        <w:t>名称要反映出该项技术的本质属性或突出特征。</w:t>
      </w:r>
    </w:p>
    <w:p>
      <w:pPr>
        <w:adjustRightInd w:val="0"/>
        <w:snapToGrid w:val="0"/>
        <w:spacing w:line="579" w:lineRule="exact"/>
        <w:ind w:firstLine="640" w:firstLineChars="200"/>
        <w:rPr>
          <w:szCs w:val="32"/>
        </w:rPr>
      </w:pPr>
      <w:r>
        <w:rPr>
          <w:szCs w:val="32"/>
        </w:rPr>
        <w:t>按照创新程度不同，新审计技术可分为3类：一是原创性新技术，即在性能、特征、属性等方面与现有审计技术完全不同，如新开发专门用于某种审计业务或者审计管理的应用软件等。二是改进性新技术，即对已有审计技术基础的改进，其性能优于已有审计技术，</w:t>
      </w:r>
      <w:r>
        <w:rPr>
          <w:rFonts w:hint="eastAsia"/>
          <w:szCs w:val="32"/>
        </w:rPr>
        <w:t>如对常见的通用型软件功能的某种改进。</w:t>
      </w:r>
      <w:r>
        <w:rPr>
          <w:szCs w:val="32"/>
        </w:rPr>
        <w:t>三是组合性新技术，即把已知的技术和知识进行组合，在质的方面提供新的技术性能和效果，并具有突出的技术特征和优点。这种组合创新，可以是现有审计技术之间的重新组合，也可以是现有审计技术与其他行业领域中相关技术的组合，还可以是其他行业领域中的技术在审计领域的首次应用。如</w:t>
      </w:r>
      <w:r>
        <w:rPr>
          <w:rFonts w:hint="eastAsia"/>
          <w:szCs w:val="32"/>
        </w:rPr>
        <w:t>大数据技术、区块链</w:t>
      </w:r>
      <w:r>
        <w:rPr>
          <w:szCs w:val="32"/>
        </w:rPr>
        <w:t>技术、</w:t>
      </w:r>
      <w:r>
        <w:rPr>
          <w:rFonts w:hint="eastAsia"/>
          <w:szCs w:val="32"/>
        </w:rPr>
        <w:t>人工智能</w:t>
      </w:r>
      <w:r>
        <w:rPr>
          <w:szCs w:val="32"/>
        </w:rPr>
        <w:t>技术等在其他行业领域中已不是新技术，但首次应用到</w:t>
      </w:r>
      <w:r>
        <w:rPr>
          <w:rFonts w:hint="eastAsia"/>
          <w:szCs w:val="32"/>
        </w:rPr>
        <w:t>内部</w:t>
      </w:r>
      <w:r>
        <w:rPr>
          <w:szCs w:val="32"/>
        </w:rPr>
        <w:t>审计领域就是一种组合创新。</w:t>
      </w:r>
    </w:p>
    <w:p>
      <w:pPr>
        <w:pStyle w:val="2"/>
      </w:pPr>
    </w:p>
    <w:p>
      <w:pPr>
        <w:adjustRightInd w:val="0"/>
        <w:snapToGrid w:val="0"/>
        <w:spacing w:line="579" w:lineRule="exact"/>
        <w:ind w:firstLine="640" w:firstLineChars="200"/>
        <w:rPr>
          <w:rFonts w:ascii="黑体" w:eastAsia="黑体"/>
          <w:szCs w:val="32"/>
        </w:rPr>
      </w:pPr>
      <w:r>
        <w:rPr>
          <w:rFonts w:ascii="黑体" w:eastAsia="黑体"/>
          <w:szCs w:val="32"/>
        </w:rPr>
        <w:t>二、</w:t>
      </w:r>
      <w:r>
        <w:rPr>
          <w:rFonts w:hint="eastAsia" w:ascii="黑体" w:eastAsia="黑体"/>
          <w:szCs w:val="32"/>
        </w:rPr>
        <w:t>背景概述</w:t>
      </w:r>
    </w:p>
    <w:p>
      <w:pPr>
        <w:adjustRightInd w:val="0"/>
        <w:snapToGrid w:val="0"/>
        <w:spacing w:line="579" w:lineRule="exact"/>
        <w:ind w:firstLine="640" w:firstLineChars="200"/>
        <w:rPr>
          <w:szCs w:val="32"/>
        </w:rPr>
      </w:pPr>
      <w:r>
        <w:rPr>
          <w:szCs w:val="32"/>
        </w:rPr>
        <w:t>技术创新的背景，包括技术本身的发展背景、技术在审计工作中的应用情况等。</w:t>
      </w:r>
    </w:p>
    <w:p>
      <w:pPr>
        <w:adjustRightInd w:val="0"/>
        <w:snapToGrid w:val="0"/>
        <w:spacing w:line="579" w:lineRule="exact"/>
        <w:ind w:firstLine="640" w:firstLineChars="200"/>
        <w:rPr>
          <w:rFonts w:ascii="黑体" w:eastAsia="黑体"/>
          <w:szCs w:val="32"/>
        </w:rPr>
      </w:pPr>
      <w:r>
        <w:rPr>
          <w:rFonts w:ascii="黑体" w:eastAsia="黑体"/>
          <w:szCs w:val="32"/>
        </w:rPr>
        <w:t>三、</w:t>
      </w:r>
      <w:r>
        <w:rPr>
          <w:rFonts w:hint="eastAsia" w:ascii="黑体" w:eastAsia="黑体"/>
          <w:szCs w:val="32"/>
        </w:rPr>
        <w:t>适用领域</w:t>
      </w:r>
    </w:p>
    <w:p>
      <w:pPr>
        <w:adjustRightInd w:val="0"/>
        <w:snapToGrid w:val="0"/>
        <w:spacing w:line="579" w:lineRule="exact"/>
        <w:ind w:firstLine="640" w:firstLineChars="200"/>
        <w:rPr>
          <w:szCs w:val="32"/>
        </w:rPr>
      </w:pPr>
      <w:r>
        <w:rPr>
          <w:szCs w:val="32"/>
        </w:rPr>
        <w:t>介绍新审计技术旨在解决的实际审计问题和应用领域。应用领域主要</w:t>
      </w:r>
      <w:r>
        <w:rPr>
          <w:rFonts w:hint="eastAsia"/>
          <w:szCs w:val="32"/>
        </w:rPr>
        <w:t>指</w:t>
      </w:r>
      <w:r>
        <w:rPr>
          <w:szCs w:val="32"/>
        </w:rPr>
        <w:t>具体审计业务。分为</w:t>
      </w:r>
      <w:r>
        <w:rPr>
          <w:rFonts w:hint="eastAsia"/>
          <w:szCs w:val="32"/>
        </w:rPr>
        <w:t>经济责任审计、工程项目审计、合同审计、内控审计和专项审计等</w:t>
      </w:r>
      <w:r>
        <w:rPr>
          <w:szCs w:val="32"/>
        </w:rPr>
        <w:t>。若</w:t>
      </w:r>
      <w:r>
        <w:rPr>
          <w:rFonts w:hint="eastAsia"/>
          <w:szCs w:val="32"/>
        </w:rPr>
        <w:t>案例在</w:t>
      </w:r>
      <w:r>
        <w:rPr>
          <w:szCs w:val="32"/>
        </w:rPr>
        <w:t>上述多个具体审计业务</w:t>
      </w:r>
      <w:r>
        <w:rPr>
          <w:rFonts w:hint="eastAsia"/>
          <w:szCs w:val="32"/>
        </w:rPr>
        <w:t>上有创新</w:t>
      </w:r>
      <w:r>
        <w:rPr>
          <w:szCs w:val="32"/>
        </w:rPr>
        <w:t>，请将</w:t>
      </w:r>
      <w:r>
        <w:rPr>
          <w:rFonts w:hint="eastAsia"/>
          <w:szCs w:val="32"/>
        </w:rPr>
        <w:t>涉及的</w:t>
      </w:r>
      <w:r>
        <w:rPr>
          <w:szCs w:val="32"/>
        </w:rPr>
        <w:t>业务</w:t>
      </w:r>
      <w:r>
        <w:rPr>
          <w:rFonts w:hint="eastAsia"/>
          <w:szCs w:val="32"/>
        </w:rPr>
        <w:t>类型</w:t>
      </w:r>
      <w:r>
        <w:rPr>
          <w:szCs w:val="32"/>
        </w:rPr>
        <w:t>全部列出。</w:t>
      </w:r>
    </w:p>
    <w:p>
      <w:pPr>
        <w:adjustRightInd w:val="0"/>
        <w:snapToGrid w:val="0"/>
        <w:spacing w:line="579" w:lineRule="exact"/>
        <w:ind w:firstLine="640" w:firstLineChars="200"/>
        <w:rPr>
          <w:rFonts w:ascii="黑体" w:eastAsia="黑体"/>
          <w:szCs w:val="32"/>
        </w:rPr>
      </w:pPr>
      <w:r>
        <w:rPr>
          <w:rFonts w:ascii="黑体" w:eastAsia="黑体"/>
          <w:szCs w:val="32"/>
        </w:rPr>
        <w:t>四、</w:t>
      </w:r>
      <w:r>
        <w:rPr>
          <w:rFonts w:hint="eastAsia" w:ascii="黑体" w:eastAsia="黑体"/>
          <w:szCs w:val="32"/>
        </w:rPr>
        <w:t>利用计算机技术开展内部审计的具体过程</w:t>
      </w:r>
    </w:p>
    <w:p>
      <w:pPr>
        <w:adjustRightInd w:val="0"/>
        <w:snapToGrid w:val="0"/>
        <w:spacing w:line="579" w:lineRule="exact"/>
        <w:ind w:firstLine="640" w:firstLineChars="200"/>
      </w:pPr>
      <w:r>
        <w:rPr>
          <w:rFonts w:hint="eastAsia"/>
          <w:szCs w:val="32"/>
        </w:rPr>
        <w:t>主要描述利用计算机技术开展内部审计的具体过程。概要叙述如何使用计算机技术与信息化手段进行项目管理、组织实施、采集转换数据及开展审计事项情况。</w:t>
      </w:r>
      <w:r>
        <w:rPr>
          <w:szCs w:val="32"/>
        </w:rPr>
        <w:t>结合审计</w:t>
      </w:r>
      <w:r>
        <w:rPr>
          <w:rFonts w:hint="eastAsia"/>
          <w:szCs w:val="32"/>
        </w:rPr>
        <w:t>中的</w:t>
      </w:r>
      <w:r>
        <w:rPr>
          <w:szCs w:val="32"/>
        </w:rPr>
        <w:t>实例，</w:t>
      </w:r>
      <w:r>
        <w:rPr>
          <w:rFonts w:hint="eastAsia"/>
          <w:szCs w:val="32"/>
        </w:rPr>
        <w:t>详细描述如何利用计算机技术发现问题线索、取得成果的思路等。</w:t>
      </w:r>
      <w:r>
        <w:rPr>
          <w:szCs w:val="32"/>
        </w:rPr>
        <w:t>以</w:t>
      </w:r>
      <w:r>
        <w:rPr>
          <w:rFonts w:hint="eastAsia"/>
          <w:szCs w:val="32"/>
        </w:rPr>
        <w:t>审计事项-审计思路-</w:t>
      </w:r>
      <w:r>
        <w:rPr>
          <w:szCs w:val="32"/>
        </w:rPr>
        <w:t>步骤</w:t>
      </w:r>
      <w:r>
        <w:rPr>
          <w:rFonts w:hint="eastAsia"/>
          <w:szCs w:val="32"/>
        </w:rPr>
        <w:t>方法……</w:t>
      </w:r>
      <w:r>
        <w:rPr>
          <w:szCs w:val="32"/>
        </w:rPr>
        <w:t>形式进行。</w:t>
      </w:r>
      <w:r>
        <w:rPr>
          <w:rFonts w:hint="eastAsia"/>
          <w:szCs w:val="32"/>
        </w:rPr>
        <w:t>每一个问题或线索的发现过程，应当清晰描述使用的软件、方法和技术情况，结合思路描述相关审计步骤，</w:t>
      </w:r>
      <w:r>
        <w:rPr>
          <w:szCs w:val="32"/>
        </w:rPr>
        <w:t>绘出流程图</w:t>
      </w:r>
      <w:r>
        <w:rPr>
          <w:rFonts w:hint="eastAsia"/>
          <w:szCs w:val="32"/>
        </w:rPr>
        <w:t>，适当截取操作截图，加以必要说明。</w:t>
      </w:r>
    </w:p>
    <w:p>
      <w:pPr>
        <w:adjustRightInd w:val="0"/>
        <w:snapToGrid w:val="0"/>
        <w:spacing w:line="579" w:lineRule="exact"/>
        <w:ind w:firstLine="640" w:firstLineChars="200"/>
        <w:rPr>
          <w:rFonts w:ascii="黑体" w:eastAsia="黑体"/>
          <w:szCs w:val="32"/>
        </w:rPr>
      </w:pPr>
      <w:r>
        <w:rPr>
          <w:rFonts w:ascii="黑体" w:eastAsia="黑体"/>
          <w:szCs w:val="32"/>
        </w:rPr>
        <w:t>五、</w:t>
      </w:r>
      <w:r>
        <w:rPr>
          <w:rFonts w:hint="eastAsia" w:ascii="黑体" w:eastAsia="黑体"/>
          <w:szCs w:val="32"/>
        </w:rPr>
        <w:t>取得的主要成效</w:t>
      </w:r>
    </w:p>
    <w:p>
      <w:pPr>
        <w:adjustRightInd w:val="0"/>
        <w:snapToGrid w:val="0"/>
        <w:spacing w:line="579" w:lineRule="exact"/>
        <w:ind w:firstLine="640" w:firstLineChars="200"/>
        <w:rPr>
          <w:szCs w:val="32"/>
        </w:rPr>
      </w:pPr>
      <w:r>
        <w:rPr>
          <w:szCs w:val="32"/>
        </w:rPr>
        <w:t>结合审计实例，详细介绍审计技术创新在提升审计工作效果和效率方面起到的积极作用，以及该项技术创新成果所产生的经济社会效益。</w:t>
      </w:r>
    </w:p>
    <w:p>
      <w:pPr>
        <w:adjustRightInd w:val="0"/>
        <w:snapToGrid w:val="0"/>
        <w:spacing w:line="579" w:lineRule="exact"/>
        <w:ind w:firstLine="640" w:firstLineChars="200"/>
        <w:rPr>
          <w:rFonts w:ascii="黑体" w:eastAsia="黑体"/>
          <w:szCs w:val="32"/>
        </w:rPr>
      </w:pPr>
      <w:r>
        <w:rPr>
          <w:rFonts w:ascii="黑体" w:eastAsia="黑体"/>
          <w:szCs w:val="32"/>
        </w:rPr>
        <w:t>六、</w:t>
      </w:r>
      <w:r>
        <w:rPr>
          <w:rFonts w:hint="eastAsia" w:ascii="黑体" w:eastAsia="黑体"/>
          <w:szCs w:val="32"/>
        </w:rPr>
        <w:t>工作创新点</w:t>
      </w:r>
    </w:p>
    <w:p>
      <w:pPr>
        <w:adjustRightInd w:val="0"/>
        <w:snapToGrid w:val="0"/>
        <w:spacing w:line="579" w:lineRule="exact"/>
        <w:ind w:firstLine="640" w:firstLineChars="200"/>
        <w:rPr>
          <w:szCs w:val="32"/>
        </w:rPr>
      </w:pPr>
      <w:r>
        <w:rPr>
          <w:rFonts w:hint="eastAsia"/>
          <w:szCs w:val="32"/>
        </w:rPr>
        <w:t>描</w:t>
      </w:r>
      <w:r>
        <w:rPr>
          <w:szCs w:val="32"/>
        </w:rPr>
        <w:t>述审计</w:t>
      </w:r>
      <w:r>
        <w:rPr>
          <w:rFonts w:hint="eastAsia"/>
          <w:szCs w:val="32"/>
        </w:rPr>
        <w:t>计算机</w:t>
      </w:r>
      <w:r>
        <w:rPr>
          <w:szCs w:val="32"/>
        </w:rPr>
        <w:t>技术</w:t>
      </w:r>
      <w:r>
        <w:rPr>
          <w:rFonts w:hint="eastAsia"/>
          <w:szCs w:val="32"/>
        </w:rPr>
        <w:t>应用</w:t>
      </w:r>
      <w:r>
        <w:rPr>
          <w:szCs w:val="32"/>
        </w:rPr>
        <w:t>的主要创新点。</w:t>
      </w:r>
    </w:p>
    <w:p>
      <w:pPr>
        <w:adjustRightInd w:val="0"/>
        <w:snapToGrid w:val="0"/>
        <w:spacing w:line="579" w:lineRule="exact"/>
        <w:ind w:firstLine="640" w:firstLineChars="200"/>
        <w:rPr>
          <w:rFonts w:ascii="黑体" w:eastAsia="黑体"/>
          <w:szCs w:val="32"/>
        </w:rPr>
      </w:pPr>
      <w:r>
        <w:rPr>
          <w:rFonts w:ascii="黑体" w:eastAsia="黑体"/>
          <w:szCs w:val="32"/>
        </w:rPr>
        <w:t>七、应用效果</w:t>
      </w:r>
    </w:p>
    <w:p>
      <w:pPr>
        <w:adjustRightInd w:val="0"/>
        <w:snapToGrid w:val="0"/>
        <w:spacing w:line="579" w:lineRule="exact"/>
        <w:ind w:firstLine="640" w:firstLineChars="200"/>
        <w:rPr>
          <w:szCs w:val="32"/>
        </w:rPr>
      </w:pPr>
      <w:r>
        <w:rPr>
          <w:szCs w:val="32"/>
        </w:rPr>
        <w:t>结合审计实例，详细介绍审计技术创新在提升审计工作效果和效率方面起到的积极作用，以及该项技术创新成果所产生的经济社会效益。</w:t>
      </w:r>
    </w:p>
    <w:p>
      <w:pPr>
        <w:adjustRightInd w:val="0"/>
        <w:snapToGrid w:val="0"/>
        <w:spacing w:line="579" w:lineRule="exact"/>
        <w:ind w:firstLine="640" w:firstLineChars="200"/>
        <w:rPr>
          <w:rFonts w:ascii="黑体" w:eastAsia="黑体"/>
          <w:szCs w:val="32"/>
        </w:rPr>
      </w:pPr>
      <w:r>
        <w:rPr>
          <w:rFonts w:ascii="黑体" w:eastAsia="黑体"/>
          <w:szCs w:val="32"/>
        </w:rPr>
        <w:t>八、参与技术创新人员所在单位及姓名</w:t>
      </w:r>
    </w:p>
    <w:p>
      <w:pPr>
        <w:adjustRightInd w:val="0"/>
        <w:snapToGrid w:val="0"/>
        <w:spacing w:line="579" w:lineRule="exact"/>
        <w:ind w:firstLine="640" w:firstLineChars="200"/>
        <w:rPr>
          <w:szCs w:val="32"/>
        </w:rPr>
      </w:pPr>
      <w:r>
        <w:rPr>
          <w:szCs w:val="32"/>
        </w:rPr>
        <w:t>所在工作单位请写全称，例如：××</w:t>
      </w:r>
      <w:r>
        <w:rPr>
          <w:rFonts w:hint="eastAsia"/>
          <w:szCs w:val="32"/>
        </w:rPr>
        <w:t xml:space="preserve">单位  </w:t>
      </w:r>
      <w:r>
        <w:rPr>
          <w:szCs w:val="32"/>
        </w:rPr>
        <w:t>张三、李四。</w:t>
      </w:r>
    </w:p>
    <w:p>
      <w:pPr>
        <w:adjustRightInd w:val="0"/>
        <w:snapToGrid w:val="0"/>
        <w:spacing w:line="579" w:lineRule="exact"/>
        <w:ind w:firstLine="640" w:firstLineChars="200"/>
        <w:rPr>
          <w:rFonts w:ascii="黑体" w:eastAsia="黑体"/>
          <w:szCs w:val="32"/>
        </w:rPr>
      </w:pPr>
      <w:r>
        <w:rPr>
          <w:rFonts w:hint="eastAsia" w:ascii="黑体" w:eastAsia="黑体"/>
          <w:szCs w:val="32"/>
        </w:rPr>
        <w:t>九</w:t>
      </w:r>
      <w:r>
        <w:rPr>
          <w:rFonts w:ascii="黑体" w:eastAsia="黑体"/>
          <w:szCs w:val="32"/>
        </w:rPr>
        <w:t>、技术创新实际完成时间</w:t>
      </w:r>
    </w:p>
    <w:p>
      <w:pPr>
        <w:pStyle w:val="3"/>
      </w:pPr>
      <w:r>
        <w:rPr>
          <w:szCs w:val="32"/>
        </w:rPr>
        <w:t>以技术开发的完成时间为准，例如：××年××月××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D5B24"/>
    <w:multiLevelType w:val="singleLevel"/>
    <w:tmpl w:val="BFFD5B24"/>
    <w:lvl w:ilvl="0" w:tentative="0">
      <w:start w:val="1"/>
      <w:numFmt w:val="chineseCounting"/>
      <w:suff w:val="nothing"/>
      <w:lvlText w:val="%1、"/>
      <w:lvlJc w:val="left"/>
      <w:rPr>
        <w:rFonts w:hint="eastAsia"/>
      </w:rPr>
    </w:lvl>
  </w:abstractNum>
  <w:abstractNum w:abstractNumId="1">
    <w:nsid w:val="5A0E14DB"/>
    <w:multiLevelType w:val="multilevel"/>
    <w:tmpl w:val="5A0E14DB"/>
    <w:lvl w:ilvl="0" w:tentative="0">
      <w:start w:val="1"/>
      <w:numFmt w:val="japaneseCounting"/>
      <w:lvlText w:val="%1、"/>
      <w:lvlJc w:val="left"/>
      <w:pPr>
        <w:ind w:left="1300" w:hanging="6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75DD3"/>
    <w:rsid w:val="00676284"/>
    <w:rsid w:val="007F65B3"/>
    <w:rsid w:val="00A21DE5"/>
    <w:rsid w:val="00B97E5B"/>
    <w:rsid w:val="00E82122"/>
    <w:rsid w:val="01AD40C9"/>
    <w:rsid w:val="0DB7614B"/>
    <w:rsid w:val="124E1728"/>
    <w:rsid w:val="158D5EA8"/>
    <w:rsid w:val="1A14014B"/>
    <w:rsid w:val="30ED1C71"/>
    <w:rsid w:val="3A9562C6"/>
    <w:rsid w:val="50F804BF"/>
    <w:rsid w:val="59E35A19"/>
    <w:rsid w:val="5D4D8195"/>
    <w:rsid w:val="682B683C"/>
    <w:rsid w:val="74C75DD3"/>
    <w:rsid w:val="7EFF874A"/>
    <w:rsid w:val="913FE0AB"/>
    <w:rsid w:val="BF2FE333"/>
    <w:rsid w:val="BFBF6071"/>
    <w:rsid w:val="BFFFA617"/>
    <w:rsid w:val="DEFEB60B"/>
    <w:rsid w:val="E3F76DBA"/>
    <w:rsid w:val="F4F38153"/>
    <w:rsid w:val="FD761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cs="Arial"/>
      <w:b/>
      <w:bCs/>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unhideWhenUsed/>
    <w:qFormat/>
    <w:uiPriority w:val="0"/>
    <w:pPr>
      <w:snapToGrid w:val="0"/>
      <w:jc w:val="left"/>
    </w:pPr>
    <w:rPr>
      <w:rFonts w:ascii="Calibri" w:hAnsi="Calibri" w:eastAsia="宋体"/>
      <w:sz w:val="18"/>
    </w:rPr>
  </w:style>
  <w:style w:type="paragraph" w:styleId="3">
    <w:name w:val="Body Text"/>
    <w:basedOn w:val="1"/>
    <w:qFormat/>
    <w:uiPriority w:val="0"/>
    <w:pPr>
      <w:snapToGrid w:val="0"/>
      <w:spacing w:line="579" w:lineRule="exact"/>
    </w:pPr>
    <w:rPr>
      <w:rFonts w:ascii="Times New Roman"/>
      <w:kern w:val="0"/>
      <w:szCs w:val="20"/>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paragraph" w:styleId="9">
    <w:name w:val="List Paragraph"/>
    <w:basedOn w:val="1"/>
    <w:unhideWhenUsed/>
    <w:qFormat/>
    <w:uiPriority w:val="99"/>
    <w:pPr>
      <w:ind w:firstLine="420" w:firstLineChars="200"/>
    </w:pPr>
    <w:rPr>
      <w:rFonts w:ascii="Calibri" w:hAnsi="Calibri"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2820</Words>
  <Characters>2888</Characters>
  <Lines>22</Lines>
  <Paragraphs>6</Paragraphs>
  <TotalTime>52</TotalTime>
  <ScaleCrop>false</ScaleCrop>
  <LinksUpToDate>false</LinksUpToDate>
  <CharactersWithSpaces>2985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2022-09-19T17:43:00Z</dcterms:created>
  <dc:creator>sjt</dc:creator>
  <cp:lastModifiedBy>jean</cp:lastModifiedBy>
  <dcterms:modified xsi:type="dcterms:W3CDTF">2022-11-08T08:14:41Z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D0E7950BFA554C2598687FC0A8765E27</vt:lpwstr>
  </property>
</Properties>
</file>