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A45" w:rsidRDefault="00E71A45"/>
    <w:p w:rsidR="00E71A45" w:rsidRDefault="00F87D32">
      <w:pPr>
        <w:jc w:val="center"/>
        <w:rPr>
          <w:rFonts w:eastAsia="方正小标宋_GBK"/>
          <w:sz w:val="44"/>
          <w:szCs w:val="44"/>
        </w:rPr>
      </w:pPr>
      <w:r>
        <w:rPr>
          <w:rFonts w:eastAsia="方正小标宋_GBK"/>
          <w:sz w:val="44"/>
          <w:szCs w:val="44"/>
        </w:rPr>
        <w:t>内部审计情况报表主要指标解释</w:t>
      </w:r>
    </w:p>
    <w:p w:rsidR="00E71A45" w:rsidRDefault="00E71A45">
      <w:pPr>
        <w:rPr>
          <w:rFonts w:eastAsia="仿宋_GB2312"/>
        </w:rPr>
      </w:pPr>
    </w:p>
    <w:p w:rsidR="00E71A45" w:rsidRDefault="00F87D32">
      <w:pPr>
        <w:ind w:firstLineChars="200" w:firstLine="643"/>
        <w:rPr>
          <w:rFonts w:eastAsia="仿宋_GB2312"/>
        </w:rPr>
      </w:pPr>
      <w:r>
        <w:rPr>
          <w:rFonts w:eastAsia="仿宋_GB2312"/>
          <w:b/>
        </w:rPr>
        <w:t>1.</w:t>
      </w:r>
      <w:r>
        <w:rPr>
          <w:rFonts w:eastAsia="仿宋_GB2312"/>
          <w:b/>
        </w:rPr>
        <w:t>内审机构</w:t>
      </w:r>
      <w:r>
        <w:rPr>
          <w:rFonts w:eastAsia="仿宋_GB2312"/>
          <w:b/>
        </w:rPr>
        <w:t>:</w:t>
      </w:r>
      <w:r>
        <w:rPr>
          <w:rFonts w:eastAsia="仿宋_GB2312"/>
        </w:rPr>
        <w:t>系指已建的专职内部审计机构和与其他部门合建的内部审计机构个数。</w:t>
      </w:r>
      <w:proofErr w:type="gramStart"/>
      <w:r>
        <w:rPr>
          <w:rFonts w:eastAsia="仿宋_GB2312"/>
        </w:rPr>
        <w:t>不</w:t>
      </w:r>
      <w:proofErr w:type="gramEnd"/>
      <w:r>
        <w:rPr>
          <w:rFonts w:eastAsia="仿宋_GB2312"/>
        </w:rPr>
        <w:t>含有机构而未配备专职或兼职审计人员的情况。</w:t>
      </w:r>
    </w:p>
    <w:p w:rsidR="00E71A45" w:rsidRDefault="00F87D32">
      <w:pPr>
        <w:ind w:firstLineChars="200" w:firstLine="643"/>
        <w:rPr>
          <w:rFonts w:eastAsia="仿宋_GB2312"/>
        </w:rPr>
      </w:pPr>
      <w:r>
        <w:rPr>
          <w:rFonts w:eastAsia="仿宋_GB2312"/>
          <w:b/>
        </w:rPr>
        <w:t>2.</w:t>
      </w:r>
      <w:r>
        <w:rPr>
          <w:rFonts w:eastAsia="仿宋_GB2312"/>
          <w:b/>
        </w:rPr>
        <w:t>内审人员</w:t>
      </w:r>
      <w:r>
        <w:rPr>
          <w:rFonts w:eastAsia="仿宋_GB2312"/>
          <w:b/>
        </w:rPr>
        <w:t>:</w:t>
      </w:r>
      <w:r>
        <w:rPr>
          <w:rFonts w:eastAsia="仿宋_GB2312"/>
        </w:rPr>
        <w:t>系指已配备的专职内部审计人员和兼职内部审计人员人数。</w:t>
      </w:r>
    </w:p>
    <w:p w:rsidR="00E71A45" w:rsidRDefault="00F87D32">
      <w:pPr>
        <w:ind w:firstLineChars="200" w:firstLine="643"/>
        <w:rPr>
          <w:rFonts w:eastAsia="仿宋_GB2312"/>
        </w:rPr>
      </w:pPr>
      <w:r>
        <w:rPr>
          <w:rFonts w:eastAsia="仿宋_GB2312"/>
          <w:b/>
        </w:rPr>
        <w:t>3.</w:t>
      </w:r>
      <w:r>
        <w:rPr>
          <w:rFonts w:eastAsia="仿宋_GB2312"/>
          <w:b/>
        </w:rPr>
        <w:t>财务收支审计</w:t>
      </w:r>
      <w:r>
        <w:rPr>
          <w:rFonts w:eastAsia="仿宋_GB2312"/>
          <w:b/>
        </w:rPr>
        <w:t>:</w:t>
      </w:r>
      <w:r>
        <w:rPr>
          <w:rFonts w:eastAsia="仿宋_GB2312"/>
        </w:rPr>
        <w:t>系指除效益审计、经济责任审计、内部控制评审、信息系统审计、基本建设审计、其他审计之外，涉及财务领域的所有审计项目，包括财政财务收支审计、预算执行审计和财务决算审签</w:t>
      </w:r>
      <w:r>
        <w:rPr>
          <w:rFonts w:eastAsia="仿宋_GB2312"/>
        </w:rPr>
        <w:t>(</w:t>
      </w:r>
      <w:r>
        <w:rPr>
          <w:rFonts w:eastAsia="仿宋_GB2312"/>
        </w:rPr>
        <w:t>财务决算审签是对财务决算实行审计签证的单位数</w:t>
      </w:r>
      <w:r>
        <w:rPr>
          <w:rFonts w:eastAsia="仿宋_GB2312"/>
        </w:rPr>
        <w:t>)</w:t>
      </w:r>
      <w:r>
        <w:rPr>
          <w:rFonts w:eastAsia="仿宋_GB2312"/>
        </w:rPr>
        <w:t>等。</w:t>
      </w:r>
    </w:p>
    <w:p w:rsidR="00E71A45" w:rsidRDefault="00F87D32">
      <w:pPr>
        <w:ind w:firstLineChars="200" w:firstLine="643"/>
        <w:rPr>
          <w:rFonts w:eastAsia="仿宋_GB2312"/>
        </w:rPr>
      </w:pPr>
      <w:r>
        <w:rPr>
          <w:rFonts w:eastAsia="仿宋_GB2312"/>
          <w:b/>
        </w:rPr>
        <w:t>4.</w:t>
      </w:r>
      <w:r>
        <w:rPr>
          <w:rFonts w:eastAsia="仿宋_GB2312"/>
          <w:b/>
        </w:rPr>
        <w:t>效益审计</w:t>
      </w:r>
      <w:r>
        <w:rPr>
          <w:rFonts w:eastAsia="仿宋_GB2312"/>
          <w:b/>
        </w:rPr>
        <w:t>:</w:t>
      </w:r>
      <w:r>
        <w:rPr>
          <w:rFonts w:eastAsia="仿宋_GB2312"/>
        </w:rPr>
        <w:t>系指促进提高经济效益方面的审计项目个数，包括经营审计、管理审计、业务审计等。</w:t>
      </w:r>
    </w:p>
    <w:p w:rsidR="00E71A45" w:rsidRDefault="00F87D32">
      <w:pPr>
        <w:ind w:firstLineChars="200" w:firstLine="643"/>
        <w:rPr>
          <w:rFonts w:eastAsia="仿宋_GB2312"/>
        </w:rPr>
      </w:pPr>
      <w:r>
        <w:rPr>
          <w:rFonts w:eastAsia="仿宋_GB2312"/>
          <w:b/>
        </w:rPr>
        <w:t>5.</w:t>
      </w:r>
      <w:r>
        <w:rPr>
          <w:rFonts w:eastAsia="仿宋_GB2312"/>
          <w:b/>
        </w:rPr>
        <w:t>经济责任审计</w:t>
      </w:r>
      <w:r>
        <w:rPr>
          <w:rFonts w:eastAsia="仿宋_GB2312"/>
          <w:b/>
        </w:rPr>
        <w:t>:</w:t>
      </w:r>
      <w:r>
        <w:rPr>
          <w:rFonts w:eastAsia="仿宋_GB2312"/>
        </w:rPr>
        <w:t>系指对被审计领导干部在任职期间对本地区、本部门或者本单位的财政收支、财务收支以及有关经济活动应负经济责任的履行情况实施的审计项目个数。</w:t>
      </w:r>
    </w:p>
    <w:p w:rsidR="00E71A45" w:rsidRDefault="00F87D32">
      <w:pPr>
        <w:ind w:firstLineChars="200" w:firstLine="643"/>
        <w:rPr>
          <w:rFonts w:eastAsia="仿宋_GB2312"/>
        </w:rPr>
      </w:pPr>
      <w:r>
        <w:rPr>
          <w:rFonts w:eastAsia="仿宋_GB2312"/>
          <w:b/>
        </w:rPr>
        <w:t>6.</w:t>
      </w:r>
      <w:r>
        <w:rPr>
          <w:rFonts w:eastAsia="仿宋_GB2312"/>
          <w:b/>
        </w:rPr>
        <w:t>内部控制评审</w:t>
      </w:r>
      <w:r>
        <w:rPr>
          <w:rFonts w:eastAsia="仿宋_GB2312"/>
          <w:b/>
        </w:rPr>
        <w:t>:</w:t>
      </w:r>
      <w:r>
        <w:rPr>
          <w:rFonts w:eastAsia="仿宋_GB2312"/>
        </w:rPr>
        <w:t>系指按照《内部控制评价指引》开展</w:t>
      </w:r>
      <w:r>
        <w:rPr>
          <w:rFonts w:eastAsia="仿宋_GB2312"/>
        </w:rPr>
        <w:t>的定期对组织整体内部控制评价工作项目个数。</w:t>
      </w:r>
    </w:p>
    <w:p w:rsidR="00E71A45" w:rsidRDefault="00F87D32">
      <w:pPr>
        <w:ind w:firstLineChars="200" w:firstLine="643"/>
        <w:rPr>
          <w:rFonts w:eastAsia="仿宋_GB2312"/>
        </w:rPr>
      </w:pPr>
      <w:r>
        <w:rPr>
          <w:rFonts w:eastAsia="仿宋_GB2312"/>
          <w:b/>
        </w:rPr>
        <w:t>7.</w:t>
      </w:r>
      <w:r>
        <w:rPr>
          <w:rFonts w:eastAsia="仿宋_GB2312"/>
          <w:b/>
        </w:rPr>
        <w:t>信息系统审计，基本建设审计</w:t>
      </w:r>
      <w:r>
        <w:rPr>
          <w:rFonts w:eastAsia="仿宋_GB2312"/>
          <w:b/>
        </w:rPr>
        <w:t>:</w:t>
      </w:r>
      <w:r>
        <w:rPr>
          <w:rFonts w:eastAsia="仿宋_GB2312"/>
        </w:rPr>
        <w:t xml:space="preserve"> </w:t>
      </w:r>
      <w:r>
        <w:rPr>
          <w:rFonts w:eastAsia="仿宋_GB2312"/>
        </w:rPr>
        <w:t>略。</w:t>
      </w:r>
    </w:p>
    <w:p w:rsidR="00E71A45" w:rsidRDefault="00F87D32">
      <w:pPr>
        <w:ind w:firstLineChars="200" w:firstLine="643"/>
        <w:rPr>
          <w:rFonts w:eastAsia="仿宋_GB2312"/>
        </w:rPr>
      </w:pPr>
      <w:r>
        <w:rPr>
          <w:rFonts w:eastAsia="仿宋_GB2312"/>
          <w:b/>
        </w:rPr>
        <w:t>8.</w:t>
      </w:r>
      <w:r>
        <w:rPr>
          <w:rFonts w:eastAsia="仿宋_GB2312"/>
          <w:b/>
        </w:rPr>
        <w:t>审计总金额</w:t>
      </w:r>
      <w:r>
        <w:rPr>
          <w:rFonts w:eastAsia="仿宋_GB2312"/>
          <w:b/>
        </w:rPr>
        <w:t>:</w:t>
      </w:r>
      <w:r>
        <w:rPr>
          <w:rFonts w:eastAsia="仿宋_GB2312"/>
        </w:rPr>
        <w:t>系指年度内全部审计项目所审计的金额总和。</w:t>
      </w:r>
    </w:p>
    <w:p w:rsidR="00E71A45" w:rsidRDefault="00F87D32">
      <w:pPr>
        <w:ind w:firstLineChars="200" w:firstLine="643"/>
        <w:rPr>
          <w:rFonts w:eastAsia="仿宋_GB2312"/>
        </w:rPr>
      </w:pPr>
      <w:r>
        <w:rPr>
          <w:rFonts w:eastAsia="仿宋_GB2312"/>
          <w:b/>
        </w:rPr>
        <w:t>9.</w:t>
      </w:r>
      <w:r>
        <w:rPr>
          <w:rFonts w:eastAsia="仿宋_GB2312"/>
          <w:b/>
        </w:rPr>
        <w:t>增收节支</w:t>
      </w:r>
      <w:r>
        <w:rPr>
          <w:rFonts w:eastAsia="仿宋_GB2312"/>
          <w:b/>
        </w:rPr>
        <w:t>:</w:t>
      </w:r>
      <w:r>
        <w:rPr>
          <w:rFonts w:eastAsia="仿宋_GB2312"/>
        </w:rPr>
        <w:t>系指审计后，被审计单位已上交财政、</w:t>
      </w:r>
      <w:r>
        <w:rPr>
          <w:rFonts w:eastAsia="仿宋_GB2312"/>
        </w:rPr>
        <w:t xml:space="preserve"> </w:t>
      </w:r>
      <w:r>
        <w:rPr>
          <w:rFonts w:eastAsia="仿宋_GB2312"/>
        </w:rPr>
        <w:t>已减少财政拨款或补贴和</w:t>
      </w:r>
      <w:proofErr w:type="gramStart"/>
      <w:r>
        <w:rPr>
          <w:rFonts w:eastAsia="仿宋_GB2312"/>
        </w:rPr>
        <w:t>巳</w:t>
      </w:r>
      <w:proofErr w:type="gramEnd"/>
      <w:r>
        <w:rPr>
          <w:rFonts w:eastAsia="仿宋_GB2312"/>
        </w:rPr>
        <w:t>归还原渠道的资金金额。</w:t>
      </w:r>
    </w:p>
    <w:p w:rsidR="00E71A45" w:rsidRDefault="00F87D32">
      <w:pPr>
        <w:ind w:firstLineChars="200" w:firstLine="643"/>
        <w:rPr>
          <w:rFonts w:eastAsia="仿宋_GB2312"/>
        </w:rPr>
      </w:pPr>
      <w:r>
        <w:rPr>
          <w:rFonts w:eastAsia="仿宋_GB2312"/>
          <w:b/>
        </w:rPr>
        <w:t>10.</w:t>
      </w:r>
      <w:r>
        <w:rPr>
          <w:rFonts w:eastAsia="仿宋_GB2312"/>
          <w:b/>
        </w:rPr>
        <w:t>提出建议意见被采纳</w:t>
      </w:r>
      <w:r>
        <w:rPr>
          <w:rFonts w:eastAsia="仿宋_GB2312"/>
          <w:b/>
        </w:rPr>
        <w:t>:</w:t>
      </w:r>
      <w:r>
        <w:rPr>
          <w:rFonts w:eastAsia="仿宋_GB2312"/>
        </w:rPr>
        <w:t>系指被采纳、接受的审计意见和审计建议条数。</w:t>
      </w:r>
    </w:p>
    <w:p w:rsidR="00E71A45" w:rsidRDefault="00F87D32">
      <w:pPr>
        <w:ind w:firstLineChars="200" w:firstLine="643"/>
        <w:rPr>
          <w:rFonts w:eastAsia="仿宋_GB2312"/>
        </w:rPr>
      </w:pPr>
      <w:r>
        <w:rPr>
          <w:rFonts w:eastAsia="仿宋_GB2312"/>
          <w:b/>
        </w:rPr>
        <w:t>11.</w:t>
      </w:r>
      <w:r>
        <w:rPr>
          <w:rFonts w:eastAsia="仿宋_GB2312"/>
          <w:b/>
        </w:rPr>
        <w:t>建议给予行政处分</w:t>
      </w:r>
      <w:r>
        <w:rPr>
          <w:rFonts w:eastAsia="仿宋_GB2312"/>
          <w:b/>
        </w:rPr>
        <w:t>:</w:t>
      </w:r>
      <w:r>
        <w:rPr>
          <w:rFonts w:eastAsia="仿宋_GB2312"/>
        </w:rPr>
        <w:t>系指审计查出被审计单位违反财经法规的有关人员，内审机构建议有关部门给予行政处分的人员数量。</w:t>
      </w:r>
    </w:p>
    <w:p w:rsidR="00E71A45" w:rsidRDefault="00F87D32">
      <w:pPr>
        <w:ind w:firstLineChars="200" w:firstLine="643"/>
        <w:rPr>
          <w:rFonts w:eastAsia="仿宋_GB2312"/>
        </w:rPr>
      </w:pPr>
      <w:r>
        <w:rPr>
          <w:rFonts w:eastAsia="仿宋_GB2312"/>
          <w:b/>
        </w:rPr>
        <w:lastRenderedPageBreak/>
        <w:t>12.</w:t>
      </w:r>
      <w:r>
        <w:rPr>
          <w:rFonts w:eastAsia="仿宋_GB2312"/>
          <w:b/>
        </w:rPr>
        <w:t>向司法机关移送案件、人员</w:t>
      </w:r>
      <w:r>
        <w:rPr>
          <w:rFonts w:eastAsia="仿宋_GB2312"/>
          <w:b/>
        </w:rPr>
        <w:t>:</w:t>
      </w:r>
      <w:r>
        <w:rPr>
          <w:rFonts w:eastAsia="仿宋_GB2312"/>
        </w:rPr>
        <w:t>系指审计查出被审计单位或有关责任人员违反国家有关法律、</w:t>
      </w:r>
      <w:r>
        <w:rPr>
          <w:rFonts w:eastAsia="仿宋_GB2312"/>
        </w:rPr>
        <w:t>法规，已构成犯罪，内审机构向司法机关移送的案件和涉案人员数量。</w:t>
      </w:r>
    </w:p>
    <w:p w:rsidR="00E71A45" w:rsidRDefault="00E71A45"/>
    <w:p w:rsidR="00E71A45" w:rsidRDefault="00E71A45"/>
    <w:p w:rsidR="00E71A45" w:rsidRDefault="00E71A45"/>
    <w:p w:rsidR="00E71A45" w:rsidRDefault="00E71A45"/>
    <w:p w:rsidR="00E71A45" w:rsidRDefault="00E71A45"/>
    <w:p w:rsidR="00E71A45" w:rsidRDefault="00E71A45"/>
    <w:p w:rsidR="00E71A45" w:rsidRDefault="00E71A45"/>
    <w:p w:rsidR="00E71A45" w:rsidRDefault="00E71A45"/>
    <w:p w:rsidR="00E71A45" w:rsidRDefault="00E71A45"/>
    <w:p w:rsidR="00E71A45" w:rsidRDefault="00E71A45"/>
    <w:p w:rsidR="00E71A45" w:rsidRDefault="00E71A45"/>
    <w:p w:rsidR="00E71A45" w:rsidRDefault="00E71A45"/>
    <w:p w:rsidR="00E71A45" w:rsidRDefault="00F87D32">
      <w:pPr>
        <w:rPr>
          <w:rFonts w:eastAsia="仿宋_GB2312"/>
        </w:rPr>
      </w:pPr>
      <w:r>
        <w:rPr>
          <w:rFonts w:eastAsia="仿宋_GB2312"/>
        </w:rPr>
        <w:br w:type="page"/>
      </w:r>
    </w:p>
    <w:p w:rsidR="00E71A45" w:rsidRDefault="00E71A45">
      <w:pPr>
        <w:rPr>
          <w:rFonts w:eastAsia="黑体"/>
        </w:rPr>
      </w:pPr>
      <w:bookmarkStart w:id="0" w:name="_GoBack"/>
      <w:bookmarkEnd w:id="0"/>
    </w:p>
    <w:p w:rsidR="00E71A45" w:rsidRDefault="00F87D32">
      <w:pPr>
        <w:jc w:val="center"/>
        <w:rPr>
          <w:rFonts w:eastAsia="方正小标宋_GBK"/>
          <w:bCs/>
          <w:snapToGrid w:val="0"/>
          <w:kern w:val="0"/>
          <w:sz w:val="44"/>
          <w:szCs w:val="44"/>
        </w:rPr>
      </w:pPr>
      <w:r>
        <w:rPr>
          <w:rFonts w:eastAsia="方正小标宋_GBK"/>
          <w:bCs/>
          <w:snapToGrid w:val="0"/>
          <w:kern w:val="0"/>
          <w:sz w:val="44"/>
          <w:szCs w:val="44"/>
        </w:rPr>
        <w:t>全区内部审计情况统计汇总责任单位分工表</w:t>
      </w:r>
    </w:p>
    <w:p w:rsidR="00E71A45" w:rsidRDefault="00E71A45">
      <w:pPr>
        <w:jc w:val="center"/>
        <w:rPr>
          <w:rFonts w:eastAsia="仿宋_GB2312"/>
          <w:b/>
          <w:snapToGrid w:val="0"/>
          <w:kern w:val="0"/>
        </w:rPr>
      </w:pP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375"/>
        <w:gridCol w:w="4422"/>
      </w:tblGrid>
      <w:tr w:rsidR="00E71A45">
        <w:trPr>
          <w:trHeight w:val="146"/>
          <w:jc w:val="center"/>
        </w:trPr>
        <w:tc>
          <w:tcPr>
            <w:tcW w:w="948" w:type="dxa"/>
          </w:tcPr>
          <w:p w:rsidR="00E71A45" w:rsidRDefault="00F87D32">
            <w:pPr>
              <w:jc w:val="center"/>
              <w:rPr>
                <w:rFonts w:eastAsia="仿宋_GB2312"/>
                <w:b/>
                <w:bCs/>
              </w:rPr>
            </w:pPr>
            <w:r>
              <w:rPr>
                <w:rFonts w:eastAsia="仿宋_GB2312"/>
                <w:b/>
                <w:bCs/>
              </w:rPr>
              <w:t>序号</w:t>
            </w:r>
          </w:p>
        </w:tc>
        <w:tc>
          <w:tcPr>
            <w:tcW w:w="3375" w:type="dxa"/>
          </w:tcPr>
          <w:p w:rsidR="00E71A45" w:rsidRDefault="00F87D32">
            <w:pPr>
              <w:rPr>
                <w:rFonts w:eastAsia="仿宋_GB2312"/>
                <w:b/>
                <w:bCs/>
              </w:rPr>
            </w:pPr>
            <w:r>
              <w:rPr>
                <w:rFonts w:eastAsia="仿宋_GB2312"/>
                <w:b/>
                <w:bCs/>
              </w:rPr>
              <w:t>汇总责任单位</w:t>
            </w:r>
          </w:p>
        </w:tc>
        <w:tc>
          <w:tcPr>
            <w:tcW w:w="4422" w:type="dxa"/>
          </w:tcPr>
          <w:p w:rsidR="00E71A45" w:rsidRDefault="00F87D32">
            <w:pPr>
              <w:rPr>
                <w:rFonts w:eastAsia="仿宋_GB2312"/>
                <w:b/>
                <w:bCs/>
              </w:rPr>
            </w:pPr>
            <w:r>
              <w:rPr>
                <w:rFonts w:eastAsia="仿宋_GB2312"/>
                <w:b/>
                <w:bCs/>
              </w:rPr>
              <w:t>汇总范围</w:t>
            </w:r>
          </w:p>
        </w:tc>
      </w:tr>
      <w:tr w:rsidR="00E71A45">
        <w:trPr>
          <w:trHeight w:val="146"/>
          <w:jc w:val="center"/>
        </w:trPr>
        <w:tc>
          <w:tcPr>
            <w:tcW w:w="948" w:type="dxa"/>
          </w:tcPr>
          <w:p w:rsidR="00E71A45" w:rsidRDefault="00F87D32">
            <w:pPr>
              <w:jc w:val="center"/>
              <w:rPr>
                <w:rFonts w:eastAsia="仿宋_GB2312"/>
              </w:rPr>
            </w:pPr>
            <w:r>
              <w:rPr>
                <w:rFonts w:eastAsia="仿宋_GB2312"/>
              </w:rPr>
              <w:t>1</w:t>
            </w:r>
          </w:p>
        </w:tc>
        <w:tc>
          <w:tcPr>
            <w:tcW w:w="3375" w:type="dxa"/>
          </w:tcPr>
          <w:p w:rsidR="00E71A45" w:rsidRDefault="00F87D32">
            <w:pPr>
              <w:rPr>
                <w:rFonts w:eastAsia="仿宋_GB2312"/>
              </w:rPr>
            </w:pPr>
            <w:r>
              <w:rPr>
                <w:rFonts w:eastAsia="仿宋_GB2312"/>
                <w:snapToGrid w:val="0"/>
                <w:kern w:val="0"/>
              </w:rPr>
              <w:t>自治区税务局</w:t>
            </w:r>
          </w:p>
        </w:tc>
        <w:tc>
          <w:tcPr>
            <w:tcW w:w="4422" w:type="dxa"/>
          </w:tcPr>
          <w:p w:rsidR="00E71A45" w:rsidRDefault="00F87D32">
            <w:pPr>
              <w:rPr>
                <w:rFonts w:eastAsia="仿宋_GB2312"/>
              </w:rPr>
            </w:pPr>
            <w:r>
              <w:rPr>
                <w:rFonts w:eastAsia="仿宋_GB2312"/>
              </w:rPr>
              <w:t>全区税务系统</w:t>
            </w:r>
          </w:p>
        </w:tc>
      </w:tr>
      <w:tr w:rsidR="00E71A45">
        <w:trPr>
          <w:trHeight w:val="146"/>
          <w:jc w:val="center"/>
        </w:trPr>
        <w:tc>
          <w:tcPr>
            <w:tcW w:w="948" w:type="dxa"/>
          </w:tcPr>
          <w:p w:rsidR="00E71A45" w:rsidRDefault="00F87D32">
            <w:pPr>
              <w:jc w:val="center"/>
              <w:rPr>
                <w:rFonts w:eastAsia="仿宋_GB2312"/>
                <w:kern w:val="0"/>
              </w:rPr>
            </w:pPr>
            <w:r>
              <w:rPr>
                <w:rFonts w:eastAsia="仿宋_GB2312"/>
                <w:kern w:val="0"/>
              </w:rPr>
              <w:t>2</w:t>
            </w:r>
          </w:p>
        </w:tc>
        <w:tc>
          <w:tcPr>
            <w:tcW w:w="3375" w:type="dxa"/>
          </w:tcPr>
          <w:p w:rsidR="00E71A45" w:rsidRDefault="00F87D32">
            <w:pPr>
              <w:rPr>
                <w:rFonts w:eastAsia="仿宋_GB2312"/>
                <w:kern w:val="0"/>
              </w:rPr>
            </w:pPr>
            <w:r>
              <w:rPr>
                <w:rFonts w:eastAsia="仿宋_GB2312"/>
                <w:kern w:val="0"/>
              </w:rPr>
              <w:t>自治区</w:t>
            </w:r>
            <w:r>
              <w:rPr>
                <w:rFonts w:eastAsia="仿宋_GB2312"/>
                <w:kern w:val="0"/>
              </w:rPr>
              <w:t>公安厅</w:t>
            </w:r>
          </w:p>
        </w:tc>
        <w:tc>
          <w:tcPr>
            <w:tcW w:w="4422" w:type="dxa"/>
          </w:tcPr>
          <w:p w:rsidR="00E71A45" w:rsidRDefault="00F87D32">
            <w:pPr>
              <w:rPr>
                <w:rFonts w:eastAsia="仿宋_GB2312"/>
                <w:kern w:val="0"/>
              </w:rPr>
            </w:pPr>
            <w:r>
              <w:rPr>
                <w:rFonts w:eastAsia="仿宋_GB2312"/>
                <w:kern w:val="0"/>
              </w:rPr>
              <w:t>全区公安系统</w:t>
            </w:r>
          </w:p>
        </w:tc>
      </w:tr>
      <w:tr w:rsidR="00E71A45">
        <w:trPr>
          <w:trHeight w:val="146"/>
          <w:jc w:val="center"/>
        </w:trPr>
        <w:tc>
          <w:tcPr>
            <w:tcW w:w="948" w:type="dxa"/>
          </w:tcPr>
          <w:p w:rsidR="00E71A45" w:rsidRDefault="00F87D32">
            <w:pPr>
              <w:jc w:val="center"/>
              <w:rPr>
                <w:rFonts w:eastAsia="仿宋_GB2312"/>
                <w:kern w:val="0"/>
              </w:rPr>
            </w:pPr>
            <w:r>
              <w:rPr>
                <w:rFonts w:eastAsia="仿宋_GB2312"/>
                <w:kern w:val="0"/>
              </w:rPr>
              <w:t>3</w:t>
            </w:r>
          </w:p>
        </w:tc>
        <w:tc>
          <w:tcPr>
            <w:tcW w:w="3375" w:type="dxa"/>
          </w:tcPr>
          <w:p w:rsidR="00E71A45" w:rsidRDefault="00F87D32">
            <w:pPr>
              <w:rPr>
                <w:rFonts w:eastAsia="仿宋_GB2312"/>
                <w:kern w:val="0"/>
              </w:rPr>
            </w:pPr>
            <w:r>
              <w:rPr>
                <w:rFonts w:eastAsia="仿宋_GB2312"/>
                <w:kern w:val="0"/>
              </w:rPr>
              <w:t>自治区</w:t>
            </w:r>
            <w:r>
              <w:rPr>
                <w:rFonts w:eastAsia="仿宋_GB2312"/>
                <w:kern w:val="0"/>
              </w:rPr>
              <w:t>司法厅</w:t>
            </w:r>
          </w:p>
        </w:tc>
        <w:tc>
          <w:tcPr>
            <w:tcW w:w="4422" w:type="dxa"/>
          </w:tcPr>
          <w:p w:rsidR="00E71A45" w:rsidRDefault="00F87D32">
            <w:pPr>
              <w:rPr>
                <w:rFonts w:eastAsia="仿宋_GB2312"/>
                <w:kern w:val="0"/>
              </w:rPr>
            </w:pPr>
            <w:r>
              <w:rPr>
                <w:rFonts w:eastAsia="仿宋_GB2312"/>
                <w:kern w:val="0"/>
              </w:rPr>
              <w:t>全区司法系统（不含监狱）</w:t>
            </w:r>
          </w:p>
        </w:tc>
      </w:tr>
      <w:tr w:rsidR="00E71A45">
        <w:trPr>
          <w:trHeight w:val="146"/>
          <w:jc w:val="center"/>
        </w:trPr>
        <w:tc>
          <w:tcPr>
            <w:tcW w:w="948" w:type="dxa"/>
          </w:tcPr>
          <w:p w:rsidR="00E71A45" w:rsidRDefault="00F87D32">
            <w:pPr>
              <w:jc w:val="center"/>
              <w:rPr>
                <w:rFonts w:eastAsia="仿宋_GB2312"/>
                <w:kern w:val="0"/>
              </w:rPr>
            </w:pPr>
            <w:r>
              <w:rPr>
                <w:rFonts w:eastAsia="仿宋_GB2312"/>
                <w:kern w:val="0"/>
              </w:rPr>
              <w:t>4</w:t>
            </w:r>
          </w:p>
        </w:tc>
        <w:tc>
          <w:tcPr>
            <w:tcW w:w="3375" w:type="dxa"/>
          </w:tcPr>
          <w:p w:rsidR="00E71A45" w:rsidRDefault="00F87D32">
            <w:pPr>
              <w:rPr>
                <w:rFonts w:eastAsia="仿宋_GB2312"/>
                <w:kern w:val="0"/>
              </w:rPr>
            </w:pPr>
            <w:r>
              <w:rPr>
                <w:rFonts w:eastAsia="仿宋_GB2312"/>
                <w:kern w:val="0"/>
              </w:rPr>
              <w:t>自治区监狱局</w:t>
            </w:r>
          </w:p>
        </w:tc>
        <w:tc>
          <w:tcPr>
            <w:tcW w:w="4422" w:type="dxa"/>
          </w:tcPr>
          <w:p w:rsidR="00E71A45" w:rsidRDefault="00F87D32">
            <w:pPr>
              <w:rPr>
                <w:rFonts w:eastAsia="仿宋_GB2312"/>
                <w:kern w:val="0"/>
              </w:rPr>
            </w:pPr>
            <w:r>
              <w:rPr>
                <w:rFonts w:eastAsia="仿宋_GB2312"/>
                <w:kern w:val="0"/>
              </w:rPr>
              <w:t>全区监狱系统（</w:t>
            </w:r>
            <w:proofErr w:type="gramStart"/>
            <w:r>
              <w:rPr>
                <w:rFonts w:eastAsia="仿宋_GB2312"/>
                <w:kern w:val="0"/>
              </w:rPr>
              <w:t>含华盛</w:t>
            </w:r>
            <w:proofErr w:type="gramEnd"/>
            <w:r>
              <w:rPr>
                <w:rFonts w:eastAsia="仿宋_GB2312"/>
                <w:kern w:val="0"/>
              </w:rPr>
              <w:t>集团）</w:t>
            </w:r>
          </w:p>
        </w:tc>
      </w:tr>
      <w:tr w:rsidR="00E71A45">
        <w:trPr>
          <w:trHeight w:val="146"/>
          <w:jc w:val="center"/>
        </w:trPr>
        <w:tc>
          <w:tcPr>
            <w:tcW w:w="948" w:type="dxa"/>
          </w:tcPr>
          <w:p w:rsidR="00E71A45" w:rsidRDefault="00F87D32">
            <w:pPr>
              <w:jc w:val="center"/>
              <w:rPr>
                <w:rFonts w:eastAsia="仿宋_GB2312"/>
                <w:kern w:val="0"/>
              </w:rPr>
            </w:pPr>
            <w:r>
              <w:rPr>
                <w:rFonts w:eastAsia="仿宋_GB2312"/>
                <w:kern w:val="0"/>
              </w:rPr>
              <w:t>5</w:t>
            </w:r>
          </w:p>
        </w:tc>
        <w:tc>
          <w:tcPr>
            <w:tcW w:w="3375" w:type="dxa"/>
          </w:tcPr>
          <w:p w:rsidR="00E71A45" w:rsidRDefault="00F87D32">
            <w:pPr>
              <w:rPr>
                <w:rFonts w:eastAsia="仿宋_GB2312"/>
                <w:kern w:val="0"/>
              </w:rPr>
            </w:pPr>
            <w:r>
              <w:rPr>
                <w:rFonts w:eastAsia="仿宋_GB2312"/>
                <w:snapToGrid w:val="0"/>
                <w:kern w:val="0"/>
              </w:rPr>
              <w:t>自治区</w:t>
            </w:r>
            <w:r>
              <w:rPr>
                <w:rFonts w:eastAsia="仿宋_GB2312"/>
                <w:snapToGrid w:val="0"/>
                <w:kern w:val="0"/>
              </w:rPr>
              <w:t>交通运输厅</w:t>
            </w:r>
          </w:p>
        </w:tc>
        <w:tc>
          <w:tcPr>
            <w:tcW w:w="4422" w:type="dxa"/>
          </w:tcPr>
          <w:p w:rsidR="00E71A45" w:rsidRDefault="00F87D32">
            <w:pPr>
              <w:rPr>
                <w:rFonts w:eastAsia="仿宋_GB2312"/>
                <w:kern w:val="0"/>
              </w:rPr>
            </w:pPr>
            <w:r>
              <w:rPr>
                <w:rFonts w:eastAsia="仿宋_GB2312"/>
                <w:kern w:val="0"/>
              </w:rPr>
              <w:t>全区交通系统（含公路）</w:t>
            </w:r>
          </w:p>
        </w:tc>
      </w:tr>
      <w:tr w:rsidR="00E71A45">
        <w:trPr>
          <w:trHeight w:val="146"/>
          <w:jc w:val="center"/>
        </w:trPr>
        <w:tc>
          <w:tcPr>
            <w:tcW w:w="948" w:type="dxa"/>
          </w:tcPr>
          <w:p w:rsidR="00E71A45" w:rsidRDefault="00F87D32">
            <w:pPr>
              <w:jc w:val="center"/>
              <w:rPr>
                <w:rFonts w:eastAsia="仿宋_GB2312"/>
              </w:rPr>
            </w:pPr>
            <w:r>
              <w:rPr>
                <w:rFonts w:eastAsia="仿宋_GB2312"/>
                <w:kern w:val="0"/>
              </w:rPr>
              <w:t>6</w:t>
            </w:r>
          </w:p>
        </w:tc>
        <w:tc>
          <w:tcPr>
            <w:tcW w:w="3375" w:type="dxa"/>
          </w:tcPr>
          <w:p w:rsidR="00E71A45" w:rsidRDefault="00F87D32">
            <w:pPr>
              <w:rPr>
                <w:rFonts w:eastAsia="仿宋_GB2312"/>
              </w:rPr>
            </w:pPr>
            <w:r>
              <w:rPr>
                <w:rFonts w:eastAsia="仿宋_GB2312"/>
                <w:kern w:val="0"/>
              </w:rPr>
              <w:t>自治区</w:t>
            </w:r>
            <w:r>
              <w:rPr>
                <w:rFonts w:eastAsia="仿宋_GB2312"/>
                <w:kern w:val="0"/>
              </w:rPr>
              <w:t>教育厅</w:t>
            </w:r>
          </w:p>
        </w:tc>
        <w:tc>
          <w:tcPr>
            <w:tcW w:w="4422" w:type="dxa"/>
          </w:tcPr>
          <w:p w:rsidR="00E71A45" w:rsidRDefault="00F87D32">
            <w:pPr>
              <w:rPr>
                <w:rFonts w:eastAsia="仿宋_GB2312"/>
              </w:rPr>
            </w:pPr>
            <w:r>
              <w:rPr>
                <w:rFonts w:eastAsia="仿宋_GB2312"/>
                <w:kern w:val="0"/>
              </w:rPr>
              <w:t>本级及直属高校</w:t>
            </w:r>
          </w:p>
        </w:tc>
      </w:tr>
      <w:tr w:rsidR="00E71A45">
        <w:trPr>
          <w:trHeight w:val="146"/>
          <w:jc w:val="center"/>
        </w:trPr>
        <w:tc>
          <w:tcPr>
            <w:tcW w:w="948" w:type="dxa"/>
          </w:tcPr>
          <w:p w:rsidR="00E71A45" w:rsidRDefault="00F87D32">
            <w:pPr>
              <w:jc w:val="center"/>
              <w:rPr>
                <w:rFonts w:eastAsia="仿宋_GB2312"/>
                <w:kern w:val="0"/>
              </w:rPr>
            </w:pPr>
            <w:r>
              <w:rPr>
                <w:rFonts w:eastAsia="仿宋_GB2312"/>
                <w:kern w:val="0"/>
              </w:rPr>
              <w:t>7</w:t>
            </w:r>
          </w:p>
        </w:tc>
        <w:tc>
          <w:tcPr>
            <w:tcW w:w="3375" w:type="dxa"/>
          </w:tcPr>
          <w:p w:rsidR="00E71A45" w:rsidRDefault="00F87D32">
            <w:pPr>
              <w:rPr>
                <w:rFonts w:eastAsia="仿宋_GB2312"/>
                <w:kern w:val="0"/>
              </w:rPr>
            </w:pPr>
            <w:r>
              <w:rPr>
                <w:rFonts w:eastAsia="仿宋_GB2312"/>
                <w:kern w:val="0"/>
              </w:rPr>
              <w:t>自治区</w:t>
            </w:r>
            <w:proofErr w:type="gramStart"/>
            <w:r>
              <w:rPr>
                <w:rFonts w:eastAsia="仿宋_GB2312"/>
                <w:kern w:val="0"/>
              </w:rPr>
              <w:t>卫健委</w:t>
            </w:r>
            <w:proofErr w:type="gramEnd"/>
          </w:p>
        </w:tc>
        <w:tc>
          <w:tcPr>
            <w:tcW w:w="4422" w:type="dxa"/>
          </w:tcPr>
          <w:p w:rsidR="00E71A45" w:rsidRDefault="00F87D32">
            <w:pPr>
              <w:rPr>
                <w:rFonts w:eastAsia="仿宋_GB2312"/>
                <w:kern w:val="0"/>
              </w:rPr>
            </w:pPr>
            <w:r>
              <w:rPr>
                <w:rFonts w:eastAsia="仿宋_GB2312"/>
                <w:kern w:val="0"/>
              </w:rPr>
              <w:t>本系统及直属医院</w:t>
            </w:r>
          </w:p>
        </w:tc>
      </w:tr>
    </w:tbl>
    <w:p w:rsidR="00E71A45" w:rsidRDefault="00F87D32">
      <w:pPr>
        <w:rPr>
          <w:rFonts w:eastAsia="仿宋_GB2312"/>
          <w:snapToGrid w:val="0"/>
          <w:kern w:val="0"/>
          <w:sz w:val="30"/>
          <w:szCs w:val="30"/>
        </w:rPr>
      </w:pPr>
      <w:r>
        <w:rPr>
          <w:rFonts w:eastAsia="仿宋_GB2312"/>
          <w:sz w:val="30"/>
          <w:szCs w:val="30"/>
        </w:rPr>
        <w:t>注：</w:t>
      </w:r>
      <w:r>
        <w:rPr>
          <w:rFonts w:eastAsia="仿宋_GB2312"/>
          <w:snapToGrid w:val="0"/>
          <w:kern w:val="0"/>
          <w:sz w:val="30"/>
          <w:szCs w:val="30"/>
        </w:rPr>
        <w:t>表中没有列举到的部门和单位的统计表直接报送广西内部审计师协会，其在市县有分支机构的，由各市县审计局负责汇总逐级上报。</w:t>
      </w:r>
    </w:p>
    <w:p w:rsidR="00E71A45" w:rsidRDefault="00E71A45">
      <w:pPr>
        <w:rPr>
          <w:rFonts w:eastAsia="仿宋_GB2312"/>
          <w:snapToGrid w:val="0"/>
          <w:kern w:val="0"/>
          <w:sz w:val="30"/>
          <w:szCs w:val="30"/>
        </w:rPr>
      </w:pPr>
    </w:p>
    <w:p w:rsidR="00E71A45" w:rsidRDefault="00E71A45"/>
    <w:p w:rsidR="00E71A45" w:rsidRDefault="00E71A45">
      <w:pPr>
        <w:adjustRightInd w:val="0"/>
        <w:snapToGrid w:val="0"/>
        <w:spacing w:line="480" w:lineRule="exact"/>
        <w:ind w:firstLineChars="200" w:firstLine="640"/>
        <w:rPr>
          <w:rFonts w:eastAsia="仿宋_GB2312"/>
          <w:kern w:val="0"/>
        </w:rPr>
      </w:pPr>
    </w:p>
    <w:p w:rsidR="00E71A45" w:rsidRDefault="00E71A45">
      <w:pPr>
        <w:spacing w:line="560" w:lineRule="exact"/>
        <w:jc w:val="left"/>
        <w:rPr>
          <w:rFonts w:eastAsia="仿宋_GB2312" w:cs="仿宋_GB2312"/>
          <w:kern w:val="0"/>
        </w:rPr>
      </w:pPr>
    </w:p>
    <w:p w:rsidR="00E71A45" w:rsidRDefault="00E71A45">
      <w:pPr>
        <w:spacing w:line="560" w:lineRule="exact"/>
        <w:jc w:val="left"/>
        <w:rPr>
          <w:rFonts w:eastAsia="仿宋_GB2312" w:cs="仿宋_GB2312"/>
          <w:kern w:val="0"/>
        </w:rPr>
      </w:pPr>
    </w:p>
    <w:p w:rsidR="00E71A45" w:rsidRDefault="00E71A45">
      <w:pPr>
        <w:spacing w:line="560" w:lineRule="exact"/>
        <w:jc w:val="left"/>
        <w:rPr>
          <w:rFonts w:eastAsia="仿宋_GB2312" w:cs="仿宋_GB2312"/>
          <w:kern w:val="0"/>
        </w:rPr>
      </w:pPr>
    </w:p>
    <w:p w:rsidR="00E71A45" w:rsidRDefault="00E71A45">
      <w:pPr>
        <w:spacing w:line="560" w:lineRule="exact"/>
        <w:jc w:val="left"/>
        <w:rPr>
          <w:rFonts w:eastAsia="仿宋_GB2312" w:cs="仿宋_GB2312"/>
          <w:kern w:val="0"/>
        </w:rPr>
      </w:pPr>
    </w:p>
    <w:p w:rsidR="00E71A45" w:rsidRDefault="00E71A45">
      <w:pPr>
        <w:spacing w:line="560" w:lineRule="exact"/>
        <w:jc w:val="left"/>
        <w:rPr>
          <w:rFonts w:eastAsia="仿宋_GB2312" w:cs="仿宋_GB2312"/>
          <w:kern w:val="0"/>
        </w:rPr>
      </w:pPr>
    </w:p>
    <w:p w:rsidR="00E71A45" w:rsidRDefault="00E71A45">
      <w:pPr>
        <w:spacing w:line="560" w:lineRule="exact"/>
        <w:jc w:val="left"/>
        <w:rPr>
          <w:rFonts w:eastAsia="仿宋_GB2312" w:cs="仿宋_GB2312"/>
          <w:kern w:val="0"/>
        </w:rPr>
      </w:pPr>
    </w:p>
    <w:p w:rsidR="00E71A45" w:rsidRDefault="00E71A45">
      <w:pPr>
        <w:pStyle w:val="a0"/>
      </w:pPr>
    </w:p>
    <w:p w:rsidR="00E71A45" w:rsidRDefault="00E71A45">
      <w:pPr>
        <w:pStyle w:val="a0"/>
      </w:pPr>
    </w:p>
    <w:p w:rsidR="00E71A45" w:rsidRDefault="00E71A45">
      <w:pPr>
        <w:pStyle w:val="a0"/>
      </w:pPr>
    </w:p>
    <w:p w:rsidR="00E71A45" w:rsidRDefault="00E71A45">
      <w:pPr>
        <w:pStyle w:val="a0"/>
      </w:pPr>
    </w:p>
    <w:p w:rsidR="00E71A45" w:rsidRDefault="00E71A45">
      <w:pPr>
        <w:pStyle w:val="a0"/>
      </w:pPr>
    </w:p>
    <w:p w:rsidR="00E71A45" w:rsidRDefault="00E71A45">
      <w:pPr>
        <w:spacing w:line="560" w:lineRule="exact"/>
        <w:jc w:val="left"/>
        <w:rPr>
          <w:rFonts w:eastAsia="仿宋_GB2312" w:cs="仿宋_GB2312"/>
          <w:kern w:val="0"/>
        </w:rPr>
      </w:pPr>
    </w:p>
    <w:p w:rsidR="00E71A45" w:rsidRDefault="00E71A45">
      <w:pPr>
        <w:pStyle w:val="a0"/>
        <w:spacing w:line="560" w:lineRule="exact"/>
      </w:pPr>
    </w:p>
    <w:sectPr w:rsidR="00E71A45">
      <w:headerReference w:type="default" r:id="rId8"/>
      <w:footerReference w:type="default" r:id="rId9"/>
      <w:pgSz w:w="11906" w:h="16838"/>
      <w:pgMar w:top="2098" w:right="1531" w:bottom="1985" w:left="1531" w:header="851" w:footer="992" w:gutter="0"/>
      <w:cols w:space="425"/>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D32" w:rsidRDefault="00F87D32">
      <w:r>
        <w:separator/>
      </w:r>
    </w:p>
  </w:endnote>
  <w:endnote w:type="continuationSeparator" w:id="0">
    <w:p w:rsidR="00F87D32" w:rsidRDefault="00F8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45" w:rsidRDefault="00F87D32">
    <w:pPr>
      <w:pStyle w:val="a6"/>
      <w:framePr w:wrap="around" w:vAnchor="text" w:hAnchor="margin" w:xAlign="outside" w:y="1"/>
      <w:ind w:firstLineChars="50" w:firstLine="140"/>
      <w:rPr>
        <w:rStyle w:val="a8"/>
        <w:rFonts w:ascii="Times New Roman" w:hAnsi="Times New Roman" w:cs="Times New Roman"/>
        <w:sz w:val="28"/>
        <w:szCs w:val="28"/>
      </w:rPr>
    </w:pPr>
    <w:r>
      <w:rPr>
        <w:rStyle w:val="a8"/>
        <w:rFonts w:ascii="Times New Roman" w:hAnsi="Times New Roman" w:cs="Times New Roman"/>
        <w:sz w:val="28"/>
        <w:szCs w:val="28"/>
      </w:rPr>
      <w:t xml:space="preserve">— </w:t>
    </w:r>
    <w:r>
      <w:rPr>
        <w:rStyle w:val="a8"/>
        <w:rFonts w:ascii="Times New Roman" w:hAnsi="Times New Roman" w:cs="Times New Roman"/>
        <w:sz w:val="28"/>
        <w:szCs w:val="28"/>
      </w:rPr>
      <w:fldChar w:fldCharType="begin"/>
    </w:r>
    <w:r>
      <w:rPr>
        <w:rStyle w:val="a8"/>
        <w:rFonts w:ascii="Times New Roman" w:hAnsi="Times New Roman" w:cs="Times New Roman"/>
        <w:sz w:val="28"/>
        <w:szCs w:val="28"/>
      </w:rPr>
      <w:instrText xml:space="preserve">PAGE  </w:instrText>
    </w:r>
    <w:r>
      <w:rPr>
        <w:rStyle w:val="a8"/>
        <w:rFonts w:ascii="Times New Roman" w:hAnsi="Times New Roman" w:cs="Times New Roman"/>
        <w:sz w:val="28"/>
        <w:szCs w:val="28"/>
      </w:rPr>
      <w:fldChar w:fldCharType="separate"/>
    </w:r>
    <w:r w:rsidR="00FF1084">
      <w:rPr>
        <w:rStyle w:val="a8"/>
        <w:rFonts w:ascii="Times New Roman" w:hAnsi="Times New Roman" w:cs="Times New Roman"/>
        <w:noProof/>
        <w:sz w:val="28"/>
        <w:szCs w:val="28"/>
      </w:rPr>
      <w:t>2</w:t>
    </w:r>
    <w:r>
      <w:rPr>
        <w:rStyle w:val="a8"/>
        <w:rFonts w:ascii="Times New Roman" w:hAnsi="Times New Roman" w:cs="Times New Roman"/>
        <w:sz w:val="28"/>
        <w:szCs w:val="28"/>
      </w:rPr>
      <w:fldChar w:fldCharType="end"/>
    </w:r>
    <w:r>
      <w:rPr>
        <w:rStyle w:val="a8"/>
        <w:rFonts w:ascii="Times New Roman" w:hAnsi="Times New Roman" w:cs="Times New Roman"/>
        <w:sz w:val="28"/>
        <w:szCs w:val="28"/>
      </w:rPr>
      <w:t xml:space="preserve"> —</w:t>
    </w:r>
  </w:p>
  <w:p w:rsidR="00E71A45" w:rsidRDefault="00E71A45">
    <w:pPr>
      <w:pStyle w:val="a6"/>
      <w:ind w:right="360"/>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D32" w:rsidRDefault="00F87D32">
      <w:r>
        <w:separator/>
      </w:r>
    </w:p>
  </w:footnote>
  <w:footnote w:type="continuationSeparator" w:id="0">
    <w:p w:rsidR="00F87D32" w:rsidRDefault="00F87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45" w:rsidRDefault="00E71A45">
    <w:pPr>
      <w:pStyle w:val="a7"/>
      <w:pBdr>
        <w:bottom w:val="none" w:sz="0" w:space="0" w:color="auto"/>
      </w:pBdr>
      <w:jc w:val="both"/>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UUID" w:val="603671a8-16a6bb0e7fe-f528764d624db129b32c21fbca0cb8d6"/>
  </w:docVars>
  <w:rsids>
    <w:rsidRoot w:val="78732B52"/>
    <w:rsid w:val="00002C70"/>
    <w:rsid w:val="00005A76"/>
    <w:rsid w:val="00086045"/>
    <w:rsid w:val="001067B0"/>
    <w:rsid w:val="001E1479"/>
    <w:rsid w:val="00262B1E"/>
    <w:rsid w:val="00322628"/>
    <w:rsid w:val="0037141D"/>
    <w:rsid w:val="003A1DFE"/>
    <w:rsid w:val="003E78D1"/>
    <w:rsid w:val="005560A4"/>
    <w:rsid w:val="0065106B"/>
    <w:rsid w:val="00665882"/>
    <w:rsid w:val="00784276"/>
    <w:rsid w:val="00791C73"/>
    <w:rsid w:val="008B117B"/>
    <w:rsid w:val="00A04723"/>
    <w:rsid w:val="00AC4DC8"/>
    <w:rsid w:val="00C2452C"/>
    <w:rsid w:val="00C26B0F"/>
    <w:rsid w:val="00C654BC"/>
    <w:rsid w:val="00CE2567"/>
    <w:rsid w:val="00CE58C4"/>
    <w:rsid w:val="00D535A7"/>
    <w:rsid w:val="00E17B2B"/>
    <w:rsid w:val="00E71A45"/>
    <w:rsid w:val="00F87D32"/>
    <w:rsid w:val="00FF1084"/>
    <w:rsid w:val="0306278C"/>
    <w:rsid w:val="03DA3D68"/>
    <w:rsid w:val="0C4931DB"/>
    <w:rsid w:val="0D9D1002"/>
    <w:rsid w:val="100E2A2C"/>
    <w:rsid w:val="12C433D2"/>
    <w:rsid w:val="12FA316B"/>
    <w:rsid w:val="1B977E36"/>
    <w:rsid w:val="1D546A50"/>
    <w:rsid w:val="1EA46416"/>
    <w:rsid w:val="2230139B"/>
    <w:rsid w:val="24F443CB"/>
    <w:rsid w:val="28E05E9C"/>
    <w:rsid w:val="2AA1380A"/>
    <w:rsid w:val="2E334EFC"/>
    <w:rsid w:val="30A85A56"/>
    <w:rsid w:val="32763ECD"/>
    <w:rsid w:val="339222D8"/>
    <w:rsid w:val="33B06893"/>
    <w:rsid w:val="34BD6136"/>
    <w:rsid w:val="394243EE"/>
    <w:rsid w:val="3A454812"/>
    <w:rsid w:val="3AE46DD6"/>
    <w:rsid w:val="41857464"/>
    <w:rsid w:val="41CF512F"/>
    <w:rsid w:val="45495BBE"/>
    <w:rsid w:val="45AA6BE7"/>
    <w:rsid w:val="4D4946F1"/>
    <w:rsid w:val="512D5A39"/>
    <w:rsid w:val="547625A6"/>
    <w:rsid w:val="558A0397"/>
    <w:rsid w:val="56182D94"/>
    <w:rsid w:val="577F6E02"/>
    <w:rsid w:val="58DC33B0"/>
    <w:rsid w:val="59685C20"/>
    <w:rsid w:val="5AD52320"/>
    <w:rsid w:val="602E1EDF"/>
    <w:rsid w:val="60A316B5"/>
    <w:rsid w:val="61722AF7"/>
    <w:rsid w:val="65DB2CC8"/>
    <w:rsid w:val="65E12EE9"/>
    <w:rsid w:val="6AE81E4B"/>
    <w:rsid w:val="6DA15716"/>
    <w:rsid w:val="6E31602A"/>
    <w:rsid w:val="6E5351C1"/>
    <w:rsid w:val="6EB5677B"/>
    <w:rsid w:val="6EDD3170"/>
    <w:rsid w:val="701543C5"/>
    <w:rsid w:val="70C04E0D"/>
    <w:rsid w:val="73B61033"/>
    <w:rsid w:val="73C15AB1"/>
    <w:rsid w:val="7538312F"/>
    <w:rsid w:val="754B7FF3"/>
    <w:rsid w:val="77525451"/>
    <w:rsid w:val="7817510D"/>
    <w:rsid w:val="78732B52"/>
    <w:rsid w:val="78EB48D4"/>
    <w:rsid w:val="799C2971"/>
    <w:rsid w:val="79E8479D"/>
    <w:rsid w:val="7DF3487C"/>
    <w:rsid w:val="7E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footnote text" w:semiHidden="1" w:uiPriority="99"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hAnsi="Times New Roman"/>
      <w:color w:val="000000"/>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uiPriority w:val="99"/>
    <w:semiHidden/>
    <w:qFormat/>
    <w:pPr>
      <w:snapToGrid w:val="0"/>
      <w:jc w:val="left"/>
    </w:pPr>
    <w:rPr>
      <w:sz w:val="18"/>
      <w:szCs w:val="18"/>
    </w:rPr>
  </w:style>
  <w:style w:type="paragraph" w:styleId="a4">
    <w:name w:val="Normal Indent"/>
    <w:basedOn w:val="a"/>
    <w:unhideWhenUsed/>
    <w:qFormat/>
    <w:pPr>
      <w:ind w:firstLine="420"/>
    </w:pPr>
    <w:rPr>
      <w:rFonts w:eastAsia="仿宋_GB2312"/>
      <w:color w:val="auto"/>
      <w:szCs w:val="20"/>
    </w:rPr>
  </w:style>
  <w:style w:type="paragraph" w:styleId="a5">
    <w:name w:val="Balloon Text"/>
    <w:basedOn w:val="a"/>
    <w:link w:val="Char"/>
    <w:qFormat/>
    <w:rPr>
      <w:sz w:val="18"/>
      <w:szCs w:val="18"/>
    </w:rPr>
  </w:style>
  <w:style w:type="paragraph" w:styleId="a6">
    <w:name w:val="footer"/>
    <w:basedOn w:val="a"/>
    <w:uiPriority w:val="99"/>
    <w:qFormat/>
    <w:pPr>
      <w:tabs>
        <w:tab w:val="center" w:pos="4153"/>
        <w:tab w:val="right" w:pos="8306"/>
      </w:tabs>
      <w:snapToGrid w:val="0"/>
      <w:jc w:val="left"/>
    </w:pPr>
    <w:rPr>
      <w:rFonts w:ascii="Calibri" w:hAnsi="Calibri" w:cs="Calibri"/>
      <w:sz w:val="18"/>
      <w:szCs w:val="18"/>
    </w:rPr>
  </w:style>
  <w:style w:type="paragraph" w:styleId="a7">
    <w:name w:val="header"/>
    <w:basedOn w:val="a"/>
    <w:uiPriority w:val="99"/>
    <w:qFormat/>
    <w:pPr>
      <w:pBdr>
        <w:bottom w:val="single" w:sz="6" w:space="1" w:color="auto"/>
      </w:pBdr>
      <w:tabs>
        <w:tab w:val="center" w:pos="4153"/>
        <w:tab w:val="right" w:pos="8306"/>
      </w:tabs>
      <w:snapToGrid w:val="0"/>
      <w:jc w:val="center"/>
    </w:pPr>
    <w:rPr>
      <w:rFonts w:ascii="Calibri" w:hAnsi="Calibri" w:cs="Calibri"/>
      <w:sz w:val="18"/>
      <w:szCs w:val="18"/>
    </w:rPr>
  </w:style>
  <w:style w:type="character" w:styleId="a8">
    <w:name w:val="page number"/>
    <w:basedOn w:val="a1"/>
    <w:uiPriority w:val="99"/>
    <w:qFormat/>
  </w:style>
  <w:style w:type="character" w:styleId="a9">
    <w:name w:val="Hyperlink"/>
    <w:basedOn w:val="a1"/>
    <w:uiPriority w:val="99"/>
    <w:qFormat/>
    <w:rPr>
      <w:color w:val="0000FF"/>
      <w:u w:val="single"/>
    </w:rPr>
  </w:style>
  <w:style w:type="character" w:customStyle="1" w:styleId="Char">
    <w:name w:val="批注框文本 Char"/>
    <w:basedOn w:val="a1"/>
    <w:link w:val="a5"/>
    <w:qFormat/>
    <w:rPr>
      <w:rFonts w:ascii="Times New Roman" w:hAnsi="Times New Roman"/>
      <w:color w:val="000000"/>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footnote text" w:semiHidden="1" w:uiPriority="99"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hAnsi="Times New Roman"/>
      <w:color w:val="000000"/>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uiPriority w:val="99"/>
    <w:semiHidden/>
    <w:qFormat/>
    <w:pPr>
      <w:snapToGrid w:val="0"/>
      <w:jc w:val="left"/>
    </w:pPr>
    <w:rPr>
      <w:sz w:val="18"/>
      <w:szCs w:val="18"/>
    </w:rPr>
  </w:style>
  <w:style w:type="paragraph" w:styleId="a4">
    <w:name w:val="Normal Indent"/>
    <w:basedOn w:val="a"/>
    <w:unhideWhenUsed/>
    <w:qFormat/>
    <w:pPr>
      <w:ind w:firstLine="420"/>
    </w:pPr>
    <w:rPr>
      <w:rFonts w:eastAsia="仿宋_GB2312"/>
      <w:color w:val="auto"/>
      <w:szCs w:val="20"/>
    </w:rPr>
  </w:style>
  <w:style w:type="paragraph" w:styleId="a5">
    <w:name w:val="Balloon Text"/>
    <w:basedOn w:val="a"/>
    <w:link w:val="Char"/>
    <w:qFormat/>
    <w:rPr>
      <w:sz w:val="18"/>
      <w:szCs w:val="18"/>
    </w:rPr>
  </w:style>
  <w:style w:type="paragraph" w:styleId="a6">
    <w:name w:val="footer"/>
    <w:basedOn w:val="a"/>
    <w:uiPriority w:val="99"/>
    <w:qFormat/>
    <w:pPr>
      <w:tabs>
        <w:tab w:val="center" w:pos="4153"/>
        <w:tab w:val="right" w:pos="8306"/>
      </w:tabs>
      <w:snapToGrid w:val="0"/>
      <w:jc w:val="left"/>
    </w:pPr>
    <w:rPr>
      <w:rFonts w:ascii="Calibri" w:hAnsi="Calibri" w:cs="Calibri"/>
      <w:sz w:val="18"/>
      <w:szCs w:val="18"/>
    </w:rPr>
  </w:style>
  <w:style w:type="paragraph" w:styleId="a7">
    <w:name w:val="header"/>
    <w:basedOn w:val="a"/>
    <w:uiPriority w:val="99"/>
    <w:qFormat/>
    <w:pPr>
      <w:pBdr>
        <w:bottom w:val="single" w:sz="6" w:space="1" w:color="auto"/>
      </w:pBdr>
      <w:tabs>
        <w:tab w:val="center" w:pos="4153"/>
        <w:tab w:val="right" w:pos="8306"/>
      </w:tabs>
      <w:snapToGrid w:val="0"/>
      <w:jc w:val="center"/>
    </w:pPr>
    <w:rPr>
      <w:rFonts w:ascii="Calibri" w:hAnsi="Calibri" w:cs="Calibri"/>
      <w:sz w:val="18"/>
      <w:szCs w:val="18"/>
    </w:rPr>
  </w:style>
  <w:style w:type="character" w:styleId="a8">
    <w:name w:val="page number"/>
    <w:basedOn w:val="a1"/>
    <w:uiPriority w:val="99"/>
    <w:qFormat/>
  </w:style>
  <w:style w:type="character" w:styleId="a9">
    <w:name w:val="Hyperlink"/>
    <w:basedOn w:val="a1"/>
    <w:uiPriority w:val="99"/>
    <w:qFormat/>
    <w:rPr>
      <w:color w:val="0000FF"/>
      <w:u w:val="single"/>
    </w:rPr>
  </w:style>
  <w:style w:type="character" w:customStyle="1" w:styleId="Char">
    <w:name w:val="批注框文本 Char"/>
    <w:basedOn w:val="a1"/>
    <w:link w:val="a5"/>
    <w:qFormat/>
    <w:rPr>
      <w:rFonts w:ascii="Times New Roman" w:hAnsi="Times New Roman"/>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Words>
  <Characters>797</Characters>
  <Application>Microsoft Office Word</Application>
  <DocSecurity>0</DocSecurity>
  <Lines>6</Lines>
  <Paragraphs>1</Paragraphs>
  <ScaleCrop>false</ScaleCrop>
  <Company>Lenovo</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贯彻落实习近平总书记在中央审计委员会第一次讲话，要加强对内部审计工作的指导和监督，充分调动内部审计和社会审计的力量，增强审计监督合力的精神。根据《中华人民共和国审计法》《中华人民共和国审计法实施条例》《审计署关于内部审计工作的规定》（审计署令第11号）的有关规定，现将《自治区本级单位内部审计机构设置调查表》印发给各单位，请认真填报，并于2019年5月15前将纸质版报自治区审计厅内部审计指导监督处，电子版发到sjt</dc:title>
  <dc:creator>李力清</dc:creator>
  <cp:lastModifiedBy>LX</cp:lastModifiedBy>
  <cp:revision>3</cp:revision>
  <dcterms:created xsi:type="dcterms:W3CDTF">2020-12-15T03:08:00Z</dcterms:created>
  <dcterms:modified xsi:type="dcterms:W3CDTF">2020-12-15T03:08:00Z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